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erschrift4"/>
        <w:jc w:val="center"/>
        <w:rPr>
          <w:lang w:val="fr-FR"/>
        </w:rPr>
      </w:pPr>
      <w:r>
        <w:rPr>
          <w:lang w:val="fr-FR"/>
        </w:rPr>
        <w:t xml:space="preserve">Boîte à outils pour la mise en œuvre du </w:t>
      </w:r>
      <w:r>
        <w:rPr>
          <w:i/>
          <w:lang w:val="fr-FR"/>
        </w:rPr>
        <w:t>Volume complémentaire</w:t>
      </w:r>
      <w:r>
        <w:rPr>
          <w:lang w:val="fr-FR"/>
        </w:rPr>
        <w:t xml:space="preserve"> du CECR</w:t>
      </w:r>
    </w:p>
    <w:p>
      <w:pPr>
        <w:pStyle w:val="Titel"/>
        <w:jc w:val="center"/>
        <w:rPr>
          <w:lang w:val="fr-FR"/>
        </w:rPr>
      </w:pPr>
      <w:r>
        <w:rPr>
          <w:sz w:val="48"/>
          <w:lang w:val="fr-FR"/>
        </w:rPr>
        <w:t xml:space="preserve">L’approche actionnelle </w:t>
      </w:r>
      <w:r>
        <w:rPr>
          <w:sz w:val="48"/>
          <w:lang w:val="fr-FR"/>
        </w:rPr>
        <w:br/>
        <w:t>– modèle de tâche</w:t>
      </w:r>
    </w:p>
    <w:p>
      <w:pPr>
        <w:rPr>
          <w:sz w:val="16"/>
          <w:szCs w:val="16"/>
          <w:lang w:val="fr-FR"/>
        </w:rPr>
      </w:pPr>
    </w:p>
    <w:p>
      <w:pPr>
        <w:jc w:val="both"/>
        <w:rPr>
          <w:i/>
          <w:sz w:val="20"/>
          <w:szCs w:val="20"/>
          <w:lang w:val="fr-FR"/>
        </w:rPr>
      </w:pPr>
      <w:r>
        <w:rPr>
          <w:i/>
          <w:sz w:val="20"/>
          <w:szCs w:val="20"/>
          <w:lang w:val="fr-FR"/>
        </w:rPr>
        <w:t xml:space="preserve">Le modèle de tâche suivant peut être utilisé dans des programmes de formation continue. Les enseignants / futurs enseignants doivent d’abord se familiariser avec le module </w:t>
      </w:r>
      <w:proofErr w:type="spellStart"/>
      <w:r>
        <w:rPr>
          <w:i/>
          <w:sz w:val="20"/>
          <w:szCs w:val="20"/>
          <w:lang w:val="fr-FR"/>
        </w:rPr>
        <w:t>VITbox</w:t>
      </w:r>
      <w:proofErr w:type="spellEnd"/>
      <w:r>
        <w:rPr>
          <w:i/>
          <w:sz w:val="20"/>
          <w:szCs w:val="20"/>
          <w:lang w:val="fr-FR"/>
        </w:rPr>
        <w:t xml:space="preserve"> sur « L'approche actionnelle et la notion d’acteur social », où ils trouveront plus d’informations concernant les différents aspects présentés ci-dessous, avant de travailler avec ce modèle.</w:t>
      </w:r>
    </w:p>
    <w:p>
      <w:pPr>
        <w:jc w:val="center"/>
        <w:rPr>
          <w:b/>
          <w:sz w:val="28"/>
          <w:szCs w:val="28"/>
          <w:lang w:val="fr-FR"/>
        </w:rPr>
      </w:pPr>
    </w:p>
    <w:p>
      <w:pPr>
        <w:rPr>
          <w:sz w:val="16"/>
          <w:szCs w:val="16"/>
          <w:lang w:val="fr-FR"/>
        </w:rPr>
      </w:pPr>
    </w:p>
    <w:p>
      <w:pPr>
        <w:rPr>
          <w:lang w:val="fr-FR"/>
        </w:rPr>
      </w:pPr>
      <w:r>
        <w:rPr>
          <w:lang w:val="fr-FR"/>
        </w:rPr>
        <w:t>Les éléments clés d’un scénario qui doivent être pris en compte dans l’élaboration des tâches lors de la mise en pratique de l’approche actionnelle sont les suivants :</w:t>
      </w:r>
    </w:p>
    <w:p>
      <w:pPr>
        <w:rPr>
          <w:sz w:val="14"/>
          <w:szCs w:val="14"/>
          <w:lang w:val="fr-FR"/>
        </w:rPr>
      </w:pPr>
    </w:p>
    <w:p>
      <w:pPr>
        <w:pStyle w:val="Listenabsatz"/>
        <w:numPr>
          <w:ilvl w:val="0"/>
          <w:numId w:val="17"/>
        </w:numPr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contexte :</w:t>
      </w:r>
    </w:p>
    <w:p>
      <w:pPr>
        <w:ind w:left="360"/>
        <w:rPr>
          <w:sz w:val="14"/>
          <w:szCs w:val="14"/>
          <w:lang w:val="fr-FR"/>
        </w:rPr>
      </w:pPr>
      <w:bookmarkStart w:id="0" w:name="_Hlk147079074"/>
    </w:p>
    <w:bookmarkEnd w:id="0"/>
    <w:p>
      <w:pPr>
        <w:pStyle w:val="Listenabsatz"/>
        <w:numPr>
          <w:ilvl w:val="0"/>
          <w:numId w:val="17"/>
        </w:numPr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situation :</w:t>
      </w:r>
    </w:p>
    <w:p>
      <w:pPr>
        <w:ind w:left="360"/>
        <w:rPr>
          <w:sz w:val="14"/>
          <w:szCs w:val="14"/>
          <w:lang w:val="fr-FR"/>
        </w:rPr>
      </w:pPr>
    </w:p>
    <w:p>
      <w:pPr>
        <w:pStyle w:val="Listenabsatz"/>
        <w:numPr>
          <w:ilvl w:val="0"/>
          <w:numId w:val="17"/>
        </w:numPr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rôles :</w:t>
      </w:r>
    </w:p>
    <w:p>
      <w:pPr>
        <w:ind w:left="360"/>
        <w:rPr>
          <w:sz w:val="14"/>
          <w:szCs w:val="14"/>
          <w:lang w:val="fr-FR"/>
        </w:rPr>
      </w:pPr>
    </w:p>
    <w:p>
      <w:pPr>
        <w:pStyle w:val="Listenabsatz"/>
        <w:numPr>
          <w:ilvl w:val="1"/>
          <w:numId w:val="17"/>
        </w:numPr>
        <w:rPr>
          <w:lang w:val="fr-FR"/>
        </w:rPr>
      </w:pPr>
      <w:proofErr w:type="gramStart"/>
      <w:r>
        <w:rPr>
          <w:lang w:val="fr-FR"/>
        </w:rPr>
        <w:t>des</w:t>
      </w:r>
      <w:proofErr w:type="gramEnd"/>
      <w:r>
        <w:rPr>
          <w:lang w:val="fr-FR"/>
        </w:rPr>
        <w:t xml:space="preserve"> apprenants / candidats à l’examen :</w:t>
      </w:r>
    </w:p>
    <w:p>
      <w:pPr>
        <w:ind w:left="360"/>
        <w:rPr>
          <w:sz w:val="14"/>
          <w:szCs w:val="14"/>
          <w:lang w:val="fr-FR"/>
        </w:rPr>
      </w:pPr>
    </w:p>
    <w:p>
      <w:pPr>
        <w:pStyle w:val="Listenabsatz"/>
        <w:numPr>
          <w:ilvl w:val="1"/>
          <w:numId w:val="17"/>
        </w:numPr>
        <w:rPr>
          <w:lang w:val="fr-FR"/>
        </w:rPr>
      </w:pPr>
      <w:proofErr w:type="gramStart"/>
      <w:r>
        <w:rPr>
          <w:lang w:val="fr-FR"/>
        </w:rPr>
        <w:t>du</w:t>
      </w:r>
      <w:proofErr w:type="gramEnd"/>
      <w:r>
        <w:rPr>
          <w:lang w:val="fr-FR"/>
        </w:rPr>
        <w:t xml:space="preserve"> groupe cible :</w:t>
      </w:r>
    </w:p>
    <w:p>
      <w:pPr>
        <w:ind w:left="360"/>
        <w:rPr>
          <w:sz w:val="14"/>
          <w:szCs w:val="14"/>
          <w:lang w:val="fr-FR"/>
        </w:rPr>
      </w:pPr>
    </w:p>
    <w:p>
      <w:pPr>
        <w:pStyle w:val="Listenabsatz"/>
        <w:numPr>
          <w:ilvl w:val="0"/>
          <w:numId w:val="17"/>
        </w:numPr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tâches : </w:t>
      </w:r>
    </w:p>
    <w:p>
      <w:pPr>
        <w:ind w:left="360"/>
        <w:rPr>
          <w:sz w:val="14"/>
          <w:szCs w:val="14"/>
          <w:lang w:val="fr-FR"/>
        </w:rPr>
      </w:pPr>
    </w:p>
    <w:p>
      <w:pPr>
        <w:pStyle w:val="Listenabsatz"/>
        <w:numPr>
          <w:ilvl w:val="1"/>
          <w:numId w:val="17"/>
        </w:numPr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macro-tâche</w:t>
      </w:r>
    </w:p>
    <w:p>
      <w:pPr>
        <w:ind w:left="360"/>
        <w:rPr>
          <w:sz w:val="14"/>
          <w:szCs w:val="14"/>
          <w:lang w:val="fr-FR"/>
        </w:rPr>
      </w:pPr>
    </w:p>
    <w:p>
      <w:pPr>
        <w:pStyle w:val="Listenabsatz"/>
        <w:numPr>
          <w:ilvl w:val="1"/>
          <w:numId w:val="17"/>
        </w:numPr>
        <w:rPr>
          <w:lang w:val="fr-FR"/>
        </w:rPr>
      </w:pPr>
      <w:proofErr w:type="gramStart"/>
      <w:r>
        <w:rPr>
          <w:lang w:val="fr-FR"/>
        </w:rPr>
        <w:t>et</w:t>
      </w:r>
      <w:proofErr w:type="gramEnd"/>
      <w:r>
        <w:rPr>
          <w:lang w:val="fr-FR"/>
        </w:rPr>
        <w:t xml:space="preserve"> les micro-tâches</w:t>
      </w:r>
    </w:p>
    <w:p>
      <w:pPr>
        <w:pStyle w:val="Listenabsatz"/>
        <w:numPr>
          <w:ilvl w:val="0"/>
          <w:numId w:val="19"/>
        </w:numPr>
        <w:rPr>
          <w:lang w:val="fr-FR"/>
        </w:rPr>
      </w:pPr>
      <w:r>
        <w:rPr>
          <w:lang w:val="fr-FR"/>
        </w:rPr>
        <w:t xml:space="preserve"> </w:t>
      </w:r>
    </w:p>
    <w:p>
      <w:pPr>
        <w:pStyle w:val="Listenabsatz"/>
        <w:numPr>
          <w:ilvl w:val="0"/>
          <w:numId w:val="19"/>
        </w:numPr>
        <w:rPr>
          <w:lang w:val="fr-FR"/>
        </w:rPr>
      </w:pPr>
      <w:r>
        <w:rPr>
          <w:lang w:val="fr-FR"/>
        </w:rPr>
        <w:t xml:space="preserve"> </w:t>
      </w:r>
    </w:p>
    <w:p>
      <w:pPr>
        <w:pStyle w:val="Listenabsatz"/>
        <w:numPr>
          <w:ilvl w:val="0"/>
          <w:numId w:val="19"/>
        </w:numPr>
        <w:rPr>
          <w:lang w:val="fr-FR"/>
        </w:rPr>
      </w:pPr>
      <w:r>
        <w:rPr>
          <w:lang w:val="fr-FR"/>
        </w:rPr>
        <w:t xml:space="preserve"> </w:t>
      </w:r>
    </w:p>
    <w:p>
      <w:pPr>
        <w:pStyle w:val="Listenabsatz"/>
        <w:numPr>
          <w:ilvl w:val="0"/>
          <w:numId w:val="19"/>
        </w:numPr>
        <w:rPr>
          <w:lang w:val="fr-FR"/>
        </w:rPr>
      </w:pPr>
      <w:r>
        <w:rPr>
          <w:lang w:val="fr-FR"/>
        </w:rPr>
        <w:t xml:space="preserve"> </w:t>
      </w:r>
    </w:p>
    <w:p>
      <w:pPr>
        <w:ind w:left="360"/>
        <w:rPr>
          <w:sz w:val="14"/>
          <w:szCs w:val="14"/>
          <w:lang w:val="fr-FR"/>
        </w:rPr>
      </w:pPr>
    </w:p>
    <w:p>
      <w:pPr>
        <w:pStyle w:val="Listenabsatz"/>
        <w:numPr>
          <w:ilvl w:val="0"/>
          <w:numId w:val="17"/>
        </w:numPr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groupe cible :</w:t>
      </w:r>
    </w:p>
    <w:p>
      <w:pPr>
        <w:ind w:left="360"/>
        <w:rPr>
          <w:sz w:val="14"/>
          <w:szCs w:val="14"/>
          <w:lang w:val="fr-FR"/>
        </w:rPr>
      </w:pPr>
    </w:p>
    <w:p>
      <w:pPr>
        <w:pStyle w:val="Listenabsatz"/>
        <w:numPr>
          <w:ilvl w:val="0"/>
          <w:numId w:val="17"/>
        </w:numPr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résultats attendus :</w:t>
      </w:r>
    </w:p>
    <w:p>
      <w:pPr>
        <w:ind w:left="360"/>
        <w:rPr>
          <w:sz w:val="16"/>
          <w:szCs w:val="16"/>
          <w:lang w:val="fr-FR"/>
        </w:rPr>
      </w:pPr>
    </w:p>
    <w:sectPr>
      <w:headerReference w:type="default" r:id="rId7"/>
      <w:footerReference w:type="default" r:id="rId8"/>
      <w:pgSz w:w="11900" w:h="16840"/>
      <w:pgMar w:top="1985" w:right="1417" w:bottom="851" w:left="1417" w:header="426" w:footer="1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2693"/>
    </w:tblGrid>
    <w:tr>
      <w:trPr>
        <w:trHeight w:val="574"/>
      </w:trPr>
      <w:tc>
        <w:tcPr>
          <w:tcW w:w="6663" w:type="dxa"/>
        </w:tcPr>
        <w:bookmarkStart w:id="1" w:name="_Hlk182398930"/>
        <w:bookmarkStart w:id="2" w:name="_Hlk182398992"/>
        <w:bookmarkStart w:id="3" w:name="_Hlk182398993"/>
        <w:bookmarkStart w:id="4" w:name="_Hlk184998540"/>
        <w:bookmarkStart w:id="5" w:name="_Hlk184998541"/>
        <w:p>
          <w:pPr>
            <w:pStyle w:val="Footer1"/>
            <w:ind w:left="172"/>
            <w:jc w:val="left"/>
            <w:rPr>
              <w:sz w:val="16"/>
              <w:szCs w:val="16"/>
              <w:lang w:val="fr-FR"/>
            </w:rPr>
          </w:pPr>
          <w:r>
            <w:rPr>
              <w:rFonts w:eastAsia="Times New Roman" w:cs="Times New Roman"/>
              <w:noProof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24765</wp:posOffset>
                    </wp:positionH>
                    <wp:positionV relativeFrom="paragraph">
                      <wp:posOffset>6581</wp:posOffset>
                    </wp:positionV>
                    <wp:extent cx="4147185" cy="4618"/>
                    <wp:effectExtent l="0" t="0" r="24765" b="33655"/>
                    <wp:wrapNone/>
                    <wp:docPr id="189" name="Straight Connector 18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147185" cy="461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 xmlns:oel="http://schemas.microsoft.com/office/2019/extlst">
                <w:pict>
                  <v:line id="Straight Connector 18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.5pt" to="328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" strokecolor="#a5a5a5" strokeweight="1pt">
                    <v:stroke joinstyle="miter"/>
                    <w10:wrap anchorx="margin"/>
                  </v:line>
                </w:pict>
              </mc:Fallback>
            </mc:AlternateContent>
          </w:r>
          <w:r>
            <w:rPr>
              <w:rFonts w:eastAsia="Times New Roman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>
            <w:rPr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>
              <w:rPr>
                <w:rStyle w:val="Hyperlink"/>
                <w:sz w:val="16"/>
                <w:szCs w:val="16"/>
                <w:lang w:val="fr-FR"/>
              </w:rPr>
              <w:t xml:space="preserve">Attribution – Pas d’Utilisation Commerciale – Partage dans les Mêmes Conditions 4.0 International Creative Commons </w:t>
            </w:r>
            <w:r>
              <w:rPr>
                <w:rStyle w:val="Hyperlink"/>
                <w:sz w:val="16"/>
                <w:szCs w:val="16"/>
                <w:lang w:val="fr-FR"/>
              </w:rPr>
              <w:br/>
              <w:t>CC BY-NC-SA 4.0).</w:t>
            </w:r>
          </w:hyperlink>
          <w:r>
            <w:rPr>
              <w:rStyle w:val="Hyperlink"/>
              <w:sz w:val="16"/>
              <w:szCs w:val="16"/>
              <w:lang w:val="fr-FR"/>
            </w:rPr>
            <w:t xml:space="preserve"> </w:t>
          </w:r>
          <w:r>
            <w:rPr>
              <w:sz w:val="16"/>
              <w:szCs w:val="16"/>
              <w:lang w:val="fr-FR"/>
            </w:rPr>
            <w:t>Attribution : Activité originale provenant de</w:t>
          </w:r>
        </w:p>
        <w:p>
          <w:pPr>
            <w:pStyle w:val="Footer1"/>
            <w:ind w:left="172"/>
            <w:jc w:val="left"/>
            <w:rPr>
              <w:rFonts w:eastAsia="Times New Roman"/>
              <w:i/>
              <w:iCs/>
              <w:color w:val="464646"/>
              <w:sz w:val="16"/>
              <w:szCs w:val="16"/>
              <w:shd w:val="clear" w:color="auto" w:fill="FFFFFF"/>
              <w:lang w:val="fr-FR"/>
            </w:rPr>
          </w:pPr>
          <w:r>
            <w:rPr>
              <w:rFonts w:cstheme="minorHAnsi"/>
              <w:sz w:val="16"/>
              <w:szCs w:val="16"/>
              <w:lang w:val="fr-FR"/>
            </w:rPr>
            <w:t>Fischer Johann (</w:t>
          </w:r>
          <w:r>
            <w:rPr>
              <w:rFonts w:cstheme="minorHAnsi"/>
              <w:i/>
              <w:iCs/>
              <w:sz w:val="16"/>
              <w:szCs w:val="16"/>
              <w:lang w:val="fr-FR"/>
            </w:rPr>
            <w:t>et al.</w:t>
          </w:r>
          <w:r>
            <w:rPr>
              <w:rFonts w:cstheme="minorHAnsi"/>
              <w:sz w:val="16"/>
              <w:szCs w:val="16"/>
              <w:lang w:val="fr-FR"/>
            </w:rPr>
            <w:t xml:space="preserve">), </w:t>
          </w:r>
          <w:r>
            <w:rPr>
              <w:rFonts w:cstheme="minorHAnsi"/>
              <w:i/>
              <w:iCs/>
              <w:sz w:val="16"/>
              <w:szCs w:val="16"/>
              <w:lang w:val="fr-FR"/>
            </w:rPr>
            <w:t>Boîte à outils pour la mise en œuvre du Volume complémentaire du CECR</w:t>
          </w:r>
          <w:r>
            <w:rPr>
              <w:rFonts w:cstheme="minorHAnsi"/>
              <w:sz w:val="16"/>
              <w:szCs w:val="16"/>
              <w:lang w:val="fr-FR"/>
            </w:rPr>
            <w:t xml:space="preserve">, Conseil de l'Europe (Centre européen pour les langues vivantes), 2023, </w:t>
          </w:r>
          <w:hyperlink r:id="rId2" w:history="1">
            <w:r>
              <w:rPr>
                <w:rStyle w:val="Hyperlink"/>
                <w:sz w:val="16"/>
                <w:szCs w:val="16"/>
                <w:lang w:val="fr-FR"/>
              </w:rPr>
              <w:t>www.ecml.at/companionvolumetoolbox</w:t>
            </w:r>
          </w:hyperlink>
          <w:r>
            <w:rPr>
              <w:rFonts w:eastAsia="Times New Roman" w:cs="Times New Roman"/>
              <w:sz w:val="16"/>
              <w:szCs w:val="16"/>
              <w:lang w:val="fr-FR"/>
            </w:rPr>
            <w:t>.</w:t>
          </w:r>
        </w:p>
      </w:tc>
      <w:tc>
        <w:tcPr>
          <w:tcW w:w="2693" w:type="dxa"/>
        </w:tcPr>
        <w:p>
          <w:pPr>
            <w:ind w:right="-109"/>
            <w:jc w:val="right"/>
            <w:rPr>
              <w:rFonts w:eastAsia="Times New Roman" w:cs="Times New Roman"/>
              <w:sz w:val="16"/>
              <w:szCs w:val="16"/>
              <w:lang w:val="en-GB"/>
            </w:rPr>
          </w:pPr>
          <w:r>
            <w:rPr>
              <w:rFonts w:eastAsia="Times New Roman" w:cs="Times New Roman"/>
              <w:noProof/>
              <w:sz w:val="16"/>
              <w:szCs w:val="16"/>
              <w:lang w:val="en-GB"/>
            </w:rPr>
            <w:drawing>
              <wp:inline distT="0" distB="0" distL="0" distR="0">
                <wp:extent cx="1572895" cy="535940"/>
                <wp:effectExtent l="0" t="0" r="8255" b="0"/>
                <wp:docPr id="27" name="Grafik 27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  <w:bookmarkEnd w:id="3"/>
    <w:bookmarkEnd w:id="4"/>
    <w:bookmarkEnd w:id="5"/>
  </w:tbl>
  <w:p>
    <w:pPr>
      <w:tabs>
        <w:tab w:val="center" w:pos="4536"/>
        <w:tab w:val="right" w:pos="9072"/>
      </w:tabs>
      <w:ind w:left="-108"/>
      <w:jc w:val="both"/>
      <w:rPr>
        <w:rFonts w:eastAsia="Times New Roman" w:cs="Times New Roman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jc w:val="right"/>
    </w:pPr>
    <w:r>
      <w:rPr>
        <w:noProof/>
        <w:lang w:val="de-DE"/>
      </w:rPr>
      <w:drawing>
        <wp:inline distT="0" distB="0" distL="0" distR="0">
          <wp:extent cx="1304714" cy="842890"/>
          <wp:effectExtent l="0" t="0" r="0" b="0"/>
          <wp:docPr id="829778387" name="Picture 829778387" descr="A blue and black toolbox with to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53790" name="Picture 1628253790" descr="A blue and black toolbox with to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18" cy="86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68D"/>
    <w:multiLevelType w:val="hybridMultilevel"/>
    <w:tmpl w:val="73BA03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1AD4"/>
    <w:multiLevelType w:val="hybridMultilevel"/>
    <w:tmpl w:val="39F02606"/>
    <w:lvl w:ilvl="0" w:tplc="2AF07F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40C"/>
    <w:multiLevelType w:val="hybridMultilevel"/>
    <w:tmpl w:val="0290ACF2"/>
    <w:lvl w:ilvl="0" w:tplc="87CADB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0D06"/>
    <w:multiLevelType w:val="multilevel"/>
    <w:tmpl w:val="A1AA8A90"/>
    <w:lvl w:ilvl="0">
      <w:start w:val="1"/>
      <w:numFmt w:val="decimal"/>
      <w:lvlText w:val="%1."/>
      <w:lvlJc w:val="left"/>
      <w:pPr>
        <w:ind w:left="70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" w15:restartNumberingAfterBreak="0">
    <w:nsid w:val="19435305"/>
    <w:multiLevelType w:val="hybridMultilevel"/>
    <w:tmpl w:val="6A3025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06593"/>
    <w:multiLevelType w:val="hybridMultilevel"/>
    <w:tmpl w:val="2A30BF88"/>
    <w:lvl w:ilvl="0" w:tplc="0C07000F">
      <w:start w:val="1"/>
      <w:numFmt w:val="decimal"/>
      <w:lvlText w:val="%1."/>
      <w:lvlJc w:val="left"/>
      <w:pPr>
        <w:ind w:left="1146" w:hanging="360"/>
      </w:pPr>
    </w:lvl>
    <w:lvl w:ilvl="1" w:tplc="0C070019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162DB3"/>
    <w:multiLevelType w:val="hybridMultilevel"/>
    <w:tmpl w:val="743488B8"/>
    <w:lvl w:ilvl="0" w:tplc="2BB41FDA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F850EF"/>
    <w:multiLevelType w:val="hybridMultilevel"/>
    <w:tmpl w:val="61D49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E7868"/>
    <w:multiLevelType w:val="hybridMultilevel"/>
    <w:tmpl w:val="7130C090"/>
    <w:lvl w:ilvl="0" w:tplc="C8B68BA2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65F7"/>
    <w:multiLevelType w:val="hybridMultilevel"/>
    <w:tmpl w:val="A4421666"/>
    <w:lvl w:ilvl="0" w:tplc="DF0A150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55D8A"/>
    <w:multiLevelType w:val="hybridMultilevel"/>
    <w:tmpl w:val="D69CC8F4"/>
    <w:lvl w:ilvl="0" w:tplc="C1F21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518B0"/>
    <w:multiLevelType w:val="hybridMultilevel"/>
    <w:tmpl w:val="85D24E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D603D"/>
    <w:multiLevelType w:val="hybridMultilevel"/>
    <w:tmpl w:val="796466BC"/>
    <w:lvl w:ilvl="0" w:tplc="074C46D2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3378"/>
    <w:multiLevelType w:val="hybridMultilevel"/>
    <w:tmpl w:val="8D8CD862"/>
    <w:lvl w:ilvl="0" w:tplc="DA4A0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43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2B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EA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E1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21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A7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62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A4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4E1437"/>
    <w:multiLevelType w:val="hybridMultilevel"/>
    <w:tmpl w:val="72547CFC"/>
    <w:lvl w:ilvl="0" w:tplc="2AF07F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16B1"/>
    <w:multiLevelType w:val="multilevel"/>
    <w:tmpl w:val="641C17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7485F06"/>
    <w:multiLevelType w:val="hybridMultilevel"/>
    <w:tmpl w:val="43FA4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84041"/>
    <w:multiLevelType w:val="hybridMultilevel"/>
    <w:tmpl w:val="76F6275A"/>
    <w:lvl w:ilvl="0" w:tplc="A95EF1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9"/>
    <w:lvlOverride w:ilvl="0">
      <w:lvl w:ilvl="0" w:tplc="DF0A150A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2"/>
  </w:num>
  <w:num w:numId="13">
    <w:abstractNumId w:val="2"/>
  </w:num>
  <w:num w:numId="14">
    <w:abstractNumId w:val="17"/>
  </w:num>
  <w:num w:numId="15">
    <w:abstractNumId w:val="4"/>
  </w:num>
  <w:num w:numId="16">
    <w:abstractNumId w:val="7"/>
  </w:num>
  <w:num w:numId="17">
    <w:abstractNumId w:val="10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2C0D0D-7B17-405C-B9EB-C8B9E16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100" w:beforeAutospacing="1" w:after="100" w:afterAutospacing="1" w:line="252" w:lineRule="auto"/>
      <w:jc w:val="both"/>
      <w:outlineLvl w:val="3"/>
    </w:pPr>
    <w:rPr>
      <w:rFonts w:ascii="Century Gothic" w:eastAsiaTheme="majorEastAsia" w:hAnsi="Century Gothic" w:cstheme="majorBidi"/>
      <w:b/>
      <w:iCs/>
      <w:color w:val="auto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apple-tab-span">
    <w:name w:val="apple-tab-span"/>
    <w:basedOn w:val="Absatz-Standardschriftart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  <w:color w:val="000000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Pr>
      <w:rFonts w:ascii="Arial" w:eastAsia="Arial" w:hAnsi="Arial" w:cs="Arial"/>
      <w:color w:val="000000"/>
      <w:lang w:val="de-CH" w:eastAsia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Arial" w:hAnsi="Segoe UI" w:cs="Segoe UI"/>
      <w:color w:val="000000"/>
      <w:sz w:val="18"/>
      <w:szCs w:val="18"/>
      <w:lang w:val="de-CH" w:eastAsia="de-DE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Footer1">
    <w:name w:val="Footer1"/>
    <w:basedOn w:val="Fuzeile"/>
    <w:link w:val="footerChar"/>
    <w:qFormat/>
    <w:pPr>
      <w:ind w:left="-108"/>
      <w:jc w:val="both"/>
    </w:pPr>
    <w:rPr>
      <w:rFonts w:asciiTheme="minorHAnsi" w:eastAsiaTheme="minorEastAsia" w:hAnsiTheme="minorHAnsi" w:cstheme="minorBidi"/>
      <w:color w:val="auto"/>
      <w:sz w:val="18"/>
      <w:lang w:val="en-GB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Century Gothic" w:eastAsiaTheme="majorEastAsia" w:hAnsi="Century Gothic" w:cstheme="majorBidi"/>
      <w:b/>
      <w:iCs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100" w:beforeAutospacing="1" w:after="100" w:afterAutospacing="1" w:line="252" w:lineRule="auto"/>
    </w:pPr>
    <w:rPr>
      <w:rFonts w:ascii="Century Gothic" w:eastAsiaTheme="majorEastAsia" w:hAnsi="Century Gothic" w:cstheme="majorBidi"/>
      <w:b/>
      <w:bCs/>
      <w:color w:val="auto"/>
      <w:spacing w:val="-7"/>
      <w:sz w:val="56"/>
      <w:szCs w:val="48"/>
      <w:lang w:val="en-GB" w:eastAsia="en-US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FuzeileZchn"/>
    <w:link w:val="Footer1"/>
    <w:rPr>
      <w:rFonts w:ascii="Arial" w:eastAsiaTheme="minorEastAsia" w:hAnsi="Arial" w:cs="Arial"/>
      <w:color w:val="000000"/>
      <w:sz w:val="18"/>
      <w:lang w:val="en-GB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eastAsia="Arial" w:hAnsi="Arial" w:cs="Arial"/>
      <w:color w:val="00000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535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971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17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487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16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303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companionvolumetoolbox" TargetMode="External"/><Relationship Id="rId1" Type="http://schemas.openxmlformats.org/officeDocument/2006/relationships/hyperlink" Target="https://creativecommons.org/licenses/by-nc-sa/4.0/dee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Ntalampyra</dc:creator>
  <cp:keywords/>
  <dc:description/>
  <cp:lastModifiedBy>Johann Fischer</cp:lastModifiedBy>
  <cp:revision>2</cp:revision>
  <cp:lastPrinted>2021-07-05T09:41:00Z</cp:lastPrinted>
  <dcterms:created xsi:type="dcterms:W3CDTF">2025-01-08T16:31:00Z</dcterms:created>
  <dcterms:modified xsi:type="dcterms:W3CDTF">2025-01-08T16:31:00Z</dcterms:modified>
</cp:coreProperties>
</file>