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F2A" w:rsidRDefault="006D78A8">
      <w:pPr>
        <w:pStyle w:val="berschrift1"/>
        <w:spacing w:before="91"/>
        <w:ind w:left="57" w:right="41"/>
        <w:jc w:val="center"/>
        <w:rPr>
          <w:rFonts w:ascii="Century Gothic"/>
          <w:lang w:val="fr-FR"/>
        </w:rPr>
      </w:pPr>
      <w:r>
        <w:rPr>
          <w:rFonts w:ascii="Century Gothic" w:hAnsi="Century Gothic"/>
          <w:lang w:val="fr-FR"/>
        </w:rPr>
        <w:t xml:space="preserve">Boîte à outils pour la mise en œuvre du </w:t>
      </w:r>
      <w:r>
        <w:rPr>
          <w:rFonts w:ascii="Century Gothic" w:hAnsi="Century Gothic"/>
          <w:i/>
          <w:iCs/>
          <w:lang w:val="fr-FR"/>
        </w:rPr>
        <w:t>Volume complémentaire</w:t>
      </w:r>
      <w:r>
        <w:rPr>
          <w:rFonts w:ascii="Century Gothic" w:hAnsi="Century Gothic"/>
          <w:lang w:val="fr-FR"/>
        </w:rPr>
        <w:t xml:space="preserve"> du CECR</w:t>
      </w:r>
    </w:p>
    <w:p w:rsidR="002E1F2A" w:rsidRDefault="002E1F2A">
      <w:pPr>
        <w:pStyle w:val="Textkrper"/>
        <w:spacing w:before="22"/>
        <w:ind w:left="0"/>
        <w:rPr>
          <w:rFonts w:ascii="Century Gothic"/>
          <w:b/>
          <w:lang w:val="fr-FR"/>
        </w:rPr>
      </w:pPr>
    </w:p>
    <w:p w:rsidR="002E1F2A" w:rsidRDefault="006D78A8">
      <w:pPr>
        <w:pStyle w:val="Titel"/>
        <w:spacing w:line="252" w:lineRule="auto"/>
        <w:rPr>
          <w:lang w:val="fr-FR"/>
        </w:rPr>
      </w:pPr>
      <w:r>
        <w:rPr>
          <w:spacing w:val="-4"/>
          <w:lang w:val="fr-FR"/>
        </w:rPr>
        <w:t>Scripts</w:t>
      </w:r>
      <w:r>
        <w:rPr>
          <w:spacing w:val="-29"/>
          <w:lang w:val="fr-FR"/>
        </w:rPr>
        <w:t xml:space="preserve"> des vidéos </w:t>
      </w:r>
      <w:r>
        <w:rPr>
          <w:spacing w:val="-4"/>
          <w:lang w:val="fr-FR"/>
        </w:rPr>
        <w:t xml:space="preserve">sur les </w:t>
      </w:r>
      <w:r>
        <w:rPr>
          <w:spacing w:val="-29"/>
          <w:lang w:val="fr-FR"/>
        </w:rPr>
        <w:t xml:space="preserve"> </w:t>
      </w:r>
      <w:r>
        <w:rPr>
          <w:spacing w:val="-29"/>
          <w:lang w:val="fr-FR"/>
        </w:rPr>
        <w:br/>
        <w:t>« </w:t>
      </w:r>
      <w:r>
        <w:rPr>
          <w:spacing w:val="-4"/>
          <w:lang w:val="fr-FR"/>
        </w:rPr>
        <w:t xml:space="preserve">Buts et objectifs du projet </w:t>
      </w:r>
      <w:proofErr w:type="spellStart"/>
      <w:r>
        <w:rPr>
          <w:spacing w:val="-4"/>
          <w:lang w:val="fr-FR"/>
        </w:rPr>
        <w:t>VITbox</w:t>
      </w:r>
      <w:proofErr w:type="spellEnd"/>
      <w:r>
        <w:rPr>
          <w:lang w:val="fr-FR"/>
        </w:rPr>
        <w:t> »</w:t>
      </w:r>
    </w:p>
    <w:p w:rsidR="002E1F2A" w:rsidRDefault="006D78A8">
      <w:pPr>
        <w:pStyle w:val="berschrift1"/>
        <w:spacing w:before="278"/>
        <w:rPr>
          <w:lang w:val="fr-FR"/>
        </w:rPr>
      </w:pPr>
      <w:r>
        <w:rPr>
          <w:lang w:val="fr-FR"/>
        </w:rPr>
        <w:t>Diapositive</w:t>
      </w:r>
      <w:r>
        <w:rPr>
          <w:spacing w:val="-5"/>
          <w:lang w:val="fr-FR"/>
        </w:rPr>
        <w:t xml:space="preserve"> </w:t>
      </w:r>
      <w:r>
        <w:rPr>
          <w:spacing w:val="-10"/>
          <w:lang w:val="fr-FR"/>
        </w:rPr>
        <w:t>2</w:t>
      </w:r>
    </w:p>
    <w:p w:rsidR="002E1F2A" w:rsidRDefault="006D78A8">
      <w:pPr>
        <w:pStyle w:val="Textkrper"/>
        <w:spacing w:line="252" w:lineRule="auto"/>
        <w:jc w:val="both"/>
        <w:rPr>
          <w:lang w:val="fr-FR"/>
        </w:rPr>
      </w:pPr>
      <w:r>
        <w:rPr>
          <w:lang w:val="fr-FR"/>
        </w:rPr>
        <w:t xml:space="preserve">Cette présentation vous offre une introduction au projet « Boîte à outils pour la mise en œuvre du </w:t>
      </w:r>
      <w:r>
        <w:rPr>
          <w:i/>
          <w:iCs/>
          <w:lang w:val="fr-FR"/>
        </w:rPr>
        <w:t>Volume complémentaire</w:t>
      </w:r>
      <w:r>
        <w:rPr>
          <w:lang w:val="fr-FR"/>
        </w:rPr>
        <w:t xml:space="preserve"> du CECR » du CELV, ou, brièvement, au « projet </w:t>
      </w:r>
      <w:proofErr w:type="spellStart"/>
      <w:r>
        <w:rPr>
          <w:lang w:val="fr-FR"/>
        </w:rPr>
        <w:t>VITbox</w:t>
      </w:r>
      <w:proofErr w:type="spellEnd"/>
      <w:r>
        <w:rPr>
          <w:lang w:val="fr-FR"/>
        </w:rPr>
        <w:t> ».</w:t>
      </w:r>
    </w:p>
    <w:p w:rsidR="002E1F2A" w:rsidRDefault="006D78A8">
      <w:pPr>
        <w:pStyle w:val="berschrift1"/>
        <w:spacing w:before="120"/>
        <w:jc w:val="both"/>
        <w:rPr>
          <w:lang w:val="fr-FR"/>
        </w:rPr>
      </w:pPr>
      <w:r>
        <w:rPr>
          <w:lang w:val="fr-FR"/>
        </w:rPr>
        <w:t>Diapositive</w:t>
      </w:r>
      <w:r>
        <w:rPr>
          <w:spacing w:val="-4"/>
          <w:lang w:val="fr-FR"/>
        </w:rPr>
        <w:t xml:space="preserve"> </w:t>
      </w:r>
      <w:r>
        <w:rPr>
          <w:spacing w:val="-10"/>
          <w:lang w:val="fr-FR"/>
        </w:rPr>
        <w:t>3</w:t>
      </w:r>
    </w:p>
    <w:p w:rsidR="002E1F2A" w:rsidRDefault="006D78A8">
      <w:pPr>
        <w:pStyle w:val="Textkrper"/>
        <w:spacing w:before="132" w:line="252" w:lineRule="auto"/>
        <w:ind w:right="159"/>
        <w:jc w:val="both"/>
        <w:rPr>
          <w:lang w:val="fr-FR"/>
        </w:rPr>
      </w:pPr>
      <w:r>
        <w:rPr>
          <w:lang w:val="fr-FR"/>
        </w:rPr>
        <w:t xml:space="preserve">Le </w:t>
      </w:r>
      <w:r>
        <w:rPr>
          <w:i/>
          <w:iCs/>
          <w:lang w:val="fr-FR"/>
        </w:rPr>
        <w:t xml:space="preserve">Volume complémentaire </w:t>
      </w:r>
      <w:r>
        <w:rPr>
          <w:lang w:val="fr-FR"/>
        </w:rPr>
        <w:t>du CECR a été publié en 2020 dans sa ve</w:t>
      </w:r>
      <w:r>
        <w:rPr>
          <w:lang w:val="fr-FR"/>
        </w:rPr>
        <w:t>rsion finale anglaise, et en 2021 en version française. Il offre une nouvelle vision de l’enseignement, de l’apprentissage et de l’évaluation des langues. Cette publication a provoqué un changement de paradigme car il met l’accent par exemple sur l’approch</w:t>
      </w:r>
      <w:r>
        <w:rPr>
          <w:lang w:val="fr-FR"/>
        </w:rPr>
        <w:t>e actionnelle, sur la communication en ligne, sur la médiation, sur les aspects plurilingues et pluriculturels et il fournit une nouvelle base de données de descripteurs validés.</w:t>
      </w:r>
    </w:p>
    <w:p w:rsidR="002E1F2A" w:rsidRDefault="006D78A8">
      <w:pPr>
        <w:pStyle w:val="berschrift1"/>
        <w:spacing w:before="121"/>
        <w:jc w:val="both"/>
        <w:rPr>
          <w:lang w:val="fr-FR"/>
        </w:rPr>
      </w:pPr>
      <w:r>
        <w:rPr>
          <w:lang w:val="fr-FR"/>
        </w:rPr>
        <w:t>Diapositive</w:t>
      </w:r>
      <w:r>
        <w:rPr>
          <w:spacing w:val="-4"/>
          <w:lang w:val="fr-FR"/>
        </w:rPr>
        <w:t xml:space="preserve"> </w:t>
      </w:r>
      <w:r>
        <w:rPr>
          <w:spacing w:val="-10"/>
          <w:lang w:val="fr-FR"/>
        </w:rPr>
        <w:t>4</w:t>
      </w:r>
    </w:p>
    <w:p w:rsidR="002E1F2A" w:rsidRDefault="006D78A8">
      <w:pPr>
        <w:pStyle w:val="Textkrper"/>
        <w:spacing w:before="134" w:line="252" w:lineRule="auto"/>
        <w:jc w:val="both"/>
        <w:rPr>
          <w:lang w:val="fr-FR"/>
        </w:rPr>
      </w:pPr>
      <w:r>
        <w:rPr>
          <w:lang w:val="fr-FR"/>
        </w:rPr>
        <w:t xml:space="preserve">Ceci a motivé l’équipe </w:t>
      </w:r>
      <w:proofErr w:type="spellStart"/>
      <w:r>
        <w:rPr>
          <w:lang w:val="fr-FR"/>
        </w:rPr>
        <w:t>VITbox</w:t>
      </w:r>
      <w:proofErr w:type="spellEnd"/>
      <w:r>
        <w:rPr>
          <w:lang w:val="fr-FR"/>
        </w:rPr>
        <w:t xml:space="preserve"> à développer des idées sur la man</w:t>
      </w:r>
      <w:r>
        <w:rPr>
          <w:lang w:val="fr-FR"/>
        </w:rPr>
        <w:t xml:space="preserve">ière de mettre en œuvre les concepts présentés dans le </w:t>
      </w:r>
      <w:r>
        <w:rPr>
          <w:i/>
          <w:iCs/>
          <w:lang w:val="fr-FR"/>
        </w:rPr>
        <w:t xml:space="preserve">Volume complémentaire </w:t>
      </w:r>
      <w:r>
        <w:rPr>
          <w:lang w:val="fr-FR"/>
        </w:rPr>
        <w:t>du CECR à l’université et dans la formation professionnelle. L’idée est de soutenir les institutions, les formateurs d’enseignants et les enseignants eux-mêmes dans ce processus d</w:t>
      </w:r>
      <w:r>
        <w:rPr>
          <w:lang w:val="fr-FR"/>
        </w:rPr>
        <w:t>e transition, de renforcer l’innovation dans l’enseignement et l’évaluation des langues et, en fin de compte, de mieux préparer les apprenants aux situations de communication sur le lieu de travail, à l’université et dans la recherche, par exemple en trava</w:t>
      </w:r>
      <w:r>
        <w:rPr>
          <w:lang w:val="fr-FR"/>
        </w:rPr>
        <w:t>illant avec des scénarios de la vie réelle.</w:t>
      </w:r>
    </w:p>
    <w:p w:rsidR="002E1F2A" w:rsidRDefault="006D78A8">
      <w:pPr>
        <w:pStyle w:val="berschrift1"/>
        <w:rPr>
          <w:lang w:val="fr-FR"/>
        </w:rPr>
      </w:pPr>
      <w:r>
        <w:rPr>
          <w:lang w:val="fr-FR"/>
        </w:rPr>
        <w:t>Diapositive</w:t>
      </w:r>
      <w:r>
        <w:rPr>
          <w:spacing w:val="-4"/>
          <w:lang w:val="fr-FR"/>
        </w:rPr>
        <w:t xml:space="preserve"> </w:t>
      </w:r>
      <w:r>
        <w:rPr>
          <w:spacing w:val="-10"/>
          <w:lang w:val="fr-FR"/>
        </w:rPr>
        <w:t>5</w:t>
      </w:r>
    </w:p>
    <w:p w:rsidR="002E1F2A" w:rsidRDefault="006D78A8">
      <w:pPr>
        <w:pStyle w:val="Textkrper"/>
        <w:spacing w:line="252" w:lineRule="auto"/>
        <w:ind w:right="159"/>
        <w:jc w:val="both"/>
        <w:rPr>
          <w:lang w:val="fr-FR"/>
        </w:rPr>
      </w:pPr>
      <w:r>
        <w:rPr>
          <w:lang w:val="fr-FR"/>
        </w:rPr>
        <w:t xml:space="preserve">Comme vous pouvez le voir dans la description originale du projet, l’idée du projet </w:t>
      </w:r>
      <w:proofErr w:type="spellStart"/>
      <w:r>
        <w:rPr>
          <w:lang w:val="fr-FR"/>
        </w:rPr>
        <w:t>VITbox</w:t>
      </w:r>
      <w:proofErr w:type="spellEnd"/>
      <w:r>
        <w:rPr>
          <w:lang w:val="fr-FR"/>
        </w:rPr>
        <w:t xml:space="preserve"> est de fournir des ressources numériques qui exemplifient comment les idées présentées dans le </w:t>
      </w:r>
      <w:r>
        <w:rPr>
          <w:i/>
          <w:iCs/>
          <w:lang w:val="fr-FR"/>
        </w:rPr>
        <w:t xml:space="preserve">Volume </w:t>
      </w:r>
      <w:r>
        <w:rPr>
          <w:i/>
          <w:iCs/>
          <w:lang w:val="fr-FR"/>
        </w:rPr>
        <w:t>complémentaire du CECR</w:t>
      </w:r>
      <w:r>
        <w:rPr>
          <w:lang w:val="fr-FR"/>
        </w:rPr>
        <w:t xml:space="preserve"> peuvent être mises en œuvre dans l’enseignement des langues à l’université et dans la formation professionnelle. Les ressources ont été produites pour les formateurs d’enseignants et les formateurs en formation continue pour qu’ils p</w:t>
      </w:r>
      <w:r>
        <w:rPr>
          <w:lang w:val="fr-FR"/>
        </w:rPr>
        <w:t xml:space="preserve">uissent les utiliser dans leurs programmes de formation, mais aussi pour les enseignants de langues à des fins d’auto-apprentissage. Les ressources </w:t>
      </w:r>
      <w:proofErr w:type="spellStart"/>
      <w:r>
        <w:rPr>
          <w:lang w:val="fr-FR"/>
        </w:rPr>
        <w:t>VITbox</w:t>
      </w:r>
      <w:proofErr w:type="spellEnd"/>
      <w:r>
        <w:rPr>
          <w:lang w:val="fr-FR"/>
        </w:rPr>
        <w:t xml:space="preserve"> se composent de courtes vidéos, de fichiers texte, de listes de contrôle, de modèles et d’exemples de</w:t>
      </w:r>
      <w:r>
        <w:rPr>
          <w:lang w:val="fr-FR"/>
        </w:rPr>
        <w:t xml:space="preserve"> matériel de cours de langues, comme des tâches, que les utilisateurs peuvent adapter à leurs contextes. Le matériel est disponible en anglais et en français, mais des exemples dans d’autres langues, par exemple des exemples d’activités pour l’utilisation </w:t>
      </w:r>
      <w:r>
        <w:rPr>
          <w:lang w:val="fr-FR"/>
        </w:rPr>
        <w:t xml:space="preserve">dans des cours de langues, sont également inclus dans la boîte à outils </w:t>
      </w:r>
      <w:proofErr w:type="spellStart"/>
      <w:r>
        <w:rPr>
          <w:lang w:val="fr-FR"/>
        </w:rPr>
        <w:t>VITbox</w:t>
      </w:r>
      <w:proofErr w:type="spellEnd"/>
      <w:r>
        <w:rPr>
          <w:lang w:val="fr-FR"/>
        </w:rPr>
        <w:t xml:space="preserve">, afin que les enseignants ou les formateurs d’enseignants axés sur d’autres langues puissent également l’utiliser. L’idée derrière le projet </w:t>
      </w:r>
      <w:proofErr w:type="spellStart"/>
      <w:r>
        <w:rPr>
          <w:lang w:val="fr-FR"/>
        </w:rPr>
        <w:t>VITbox</w:t>
      </w:r>
      <w:proofErr w:type="spellEnd"/>
      <w:r>
        <w:rPr>
          <w:lang w:val="fr-FR"/>
        </w:rPr>
        <w:t xml:space="preserve"> est de fournir une boîte à ou</w:t>
      </w:r>
      <w:r>
        <w:rPr>
          <w:lang w:val="fr-FR"/>
        </w:rPr>
        <w:t xml:space="preserve">tils qui est disponible gratuitement pour les éducateurs, les formateurs et les enseignants, qui peuvent ensuite choisir dans cette boîte à outils le matériel qu’ils souhaitent utiliser à leurs fins individuelles et qu’ils peuvent adapter à </w:t>
      </w:r>
      <w:r>
        <w:rPr>
          <w:lang w:val="fr-FR"/>
        </w:rPr>
        <w:lastRenderedPageBreak/>
        <w:t>leurs besoins i</w:t>
      </w:r>
      <w:r>
        <w:rPr>
          <w:lang w:val="fr-FR"/>
        </w:rPr>
        <w:t>ndividuels, mais qui peuvent également les motiver à créer leur propre matériel.</w:t>
      </w:r>
    </w:p>
    <w:p w:rsidR="002E1F2A" w:rsidRDefault="006D78A8">
      <w:pPr>
        <w:pStyle w:val="berschrift1"/>
        <w:spacing w:before="120"/>
        <w:jc w:val="both"/>
        <w:rPr>
          <w:lang w:val="fr-FR"/>
        </w:rPr>
      </w:pPr>
      <w:r>
        <w:rPr>
          <w:lang w:val="fr-FR"/>
        </w:rPr>
        <w:t>Diapositive</w:t>
      </w:r>
      <w:r>
        <w:rPr>
          <w:spacing w:val="-4"/>
          <w:lang w:val="fr-FR"/>
        </w:rPr>
        <w:t xml:space="preserve"> </w:t>
      </w:r>
      <w:r>
        <w:rPr>
          <w:spacing w:val="-10"/>
          <w:lang w:val="fr-FR"/>
        </w:rPr>
        <w:t>6</w:t>
      </w:r>
    </w:p>
    <w:p w:rsidR="002E1F2A" w:rsidRDefault="006D78A8">
      <w:pPr>
        <w:pStyle w:val="Textkrper"/>
        <w:spacing w:before="133" w:line="252" w:lineRule="auto"/>
        <w:ind w:right="98"/>
        <w:jc w:val="both"/>
        <w:rPr>
          <w:lang w:val="fr-FR"/>
        </w:rPr>
      </w:pPr>
      <w:r>
        <w:rPr>
          <w:lang w:val="fr-FR"/>
        </w:rPr>
        <w:t xml:space="preserve">Pour résumer, le projet </w:t>
      </w:r>
      <w:proofErr w:type="spellStart"/>
      <w:r>
        <w:rPr>
          <w:lang w:val="fr-FR"/>
        </w:rPr>
        <w:t>VITbox</w:t>
      </w:r>
      <w:proofErr w:type="spellEnd"/>
      <w:r>
        <w:rPr>
          <w:lang w:val="fr-FR"/>
        </w:rPr>
        <w:t xml:space="preserve"> fournit aux formateurs d’enseignants, aux formateurs dans la formation continue et aux enseignants de langues à l’université et da</w:t>
      </w:r>
      <w:r>
        <w:rPr>
          <w:lang w:val="fr-FR"/>
        </w:rPr>
        <w:t xml:space="preserve">ns la formation professionnelle des outils qui les aident à mettre en œuvre les idées du </w:t>
      </w:r>
      <w:r>
        <w:rPr>
          <w:i/>
          <w:iCs/>
          <w:lang w:val="fr-FR"/>
        </w:rPr>
        <w:t xml:space="preserve">Volume complémentaire </w:t>
      </w:r>
      <w:r>
        <w:rPr>
          <w:lang w:val="fr-FR"/>
        </w:rPr>
        <w:t>du CECR. Ces outils peuvent aide</w:t>
      </w:r>
      <w:r w:rsidR="006558F6">
        <w:rPr>
          <w:lang w:val="fr-FR"/>
        </w:rPr>
        <w:t>r</w:t>
      </w:r>
      <w:r>
        <w:rPr>
          <w:lang w:val="fr-FR"/>
        </w:rPr>
        <w:t xml:space="preserve"> à gérer les défis que nous rencontrons actuellement dans l’enseignement, l’apprentissage et l’évaluation des l</w:t>
      </w:r>
      <w:r>
        <w:rPr>
          <w:lang w:val="fr-FR"/>
        </w:rPr>
        <w:t>angues. L’idée sous-jacente est de mettre en œuvre des changements afin de répondre aux besoins des nouvelles générations d’apprenants.</w:t>
      </w:r>
    </w:p>
    <w:p w:rsidR="002E1F2A" w:rsidRDefault="006D78A8">
      <w:pPr>
        <w:pStyle w:val="berschrift1"/>
        <w:spacing w:before="88"/>
        <w:rPr>
          <w:lang w:val="fr-FR"/>
        </w:rPr>
      </w:pPr>
      <w:r>
        <w:rPr>
          <w:lang w:val="fr-FR"/>
        </w:rPr>
        <w:t>Diapositive</w:t>
      </w:r>
      <w:r>
        <w:rPr>
          <w:spacing w:val="-4"/>
          <w:lang w:val="fr-FR"/>
        </w:rPr>
        <w:t xml:space="preserve"> </w:t>
      </w:r>
      <w:r>
        <w:rPr>
          <w:spacing w:val="-10"/>
          <w:lang w:val="fr-FR"/>
        </w:rPr>
        <w:t>7</w:t>
      </w:r>
    </w:p>
    <w:p w:rsidR="002E1F2A" w:rsidRDefault="006D78A8">
      <w:pPr>
        <w:pStyle w:val="Textkrper"/>
        <w:spacing w:line="252" w:lineRule="auto"/>
        <w:jc w:val="both"/>
        <w:rPr>
          <w:lang w:val="fr-FR"/>
        </w:rPr>
      </w:pPr>
      <w:r>
        <w:rPr>
          <w:lang w:val="fr-FR"/>
        </w:rPr>
        <w:t xml:space="preserve">Les objectifs généraux de l’initiative </w:t>
      </w:r>
      <w:proofErr w:type="spellStart"/>
      <w:r>
        <w:rPr>
          <w:lang w:val="fr-FR"/>
        </w:rPr>
        <w:t>VITbox</w:t>
      </w:r>
      <w:proofErr w:type="spellEnd"/>
      <w:r>
        <w:rPr>
          <w:lang w:val="fr-FR"/>
        </w:rPr>
        <w:t xml:space="preserve"> sont de mettre en œuvre les idées du </w:t>
      </w:r>
      <w:r>
        <w:rPr>
          <w:i/>
          <w:iCs/>
          <w:lang w:val="fr-FR"/>
        </w:rPr>
        <w:t xml:space="preserve">Volume complémentaire </w:t>
      </w:r>
      <w:r>
        <w:rPr>
          <w:lang w:val="fr-FR"/>
        </w:rPr>
        <w:t>d</w:t>
      </w:r>
      <w:r>
        <w:rPr>
          <w:lang w:val="fr-FR"/>
        </w:rPr>
        <w:t>u CECR du Conseil de l’Europe (2021) dans l’enseignement et l’évaluation des langues à l’université et dans la formation professionnelle, comme nous l’avons déjà mentionné. Il s’agit notamment de renforcer une approche actionnelle basée sur les tâches dans</w:t>
      </w:r>
      <w:r>
        <w:rPr>
          <w:lang w:val="fr-FR"/>
        </w:rPr>
        <w:t xml:space="preserve"> l’enseignement et également dans l’évaluation afin de contribuer à l’innovation dans l’enseignement et l’évaluation des langues à l’université et dans le contexte professionnel.</w:t>
      </w:r>
    </w:p>
    <w:p w:rsidR="002E1F2A" w:rsidRDefault="006D78A8">
      <w:pPr>
        <w:pStyle w:val="berschrift1"/>
        <w:spacing w:before="118"/>
        <w:jc w:val="both"/>
        <w:rPr>
          <w:lang w:val="fr-FR"/>
        </w:rPr>
      </w:pPr>
      <w:r>
        <w:rPr>
          <w:lang w:val="fr-FR"/>
        </w:rPr>
        <w:t>Diapositive</w:t>
      </w:r>
      <w:r>
        <w:rPr>
          <w:spacing w:val="-4"/>
          <w:lang w:val="fr-FR"/>
        </w:rPr>
        <w:t xml:space="preserve"> </w:t>
      </w:r>
      <w:r>
        <w:rPr>
          <w:spacing w:val="-10"/>
          <w:lang w:val="fr-FR"/>
        </w:rPr>
        <w:t>8</w:t>
      </w:r>
    </w:p>
    <w:p w:rsidR="002E1F2A" w:rsidRDefault="006D78A8" w:rsidP="006558F6">
      <w:pPr>
        <w:pStyle w:val="Textkrper"/>
        <w:spacing w:line="252" w:lineRule="auto"/>
        <w:ind w:right="2"/>
        <w:jc w:val="both"/>
        <w:rPr>
          <w:lang w:val="fr-FR"/>
        </w:rPr>
      </w:pPr>
      <w:r>
        <w:rPr>
          <w:lang w:val="fr-FR"/>
        </w:rPr>
        <w:t xml:space="preserve">Ce faisant, le projet </w:t>
      </w:r>
      <w:proofErr w:type="spellStart"/>
      <w:r>
        <w:rPr>
          <w:lang w:val="fr-FR"/>
        </w:rPr>
        <w:t>VITbox</w:t>
      </w:r>
      <w:proofErr w:type="spellEnd"/>
      <w:r>
        <w:rPr>
          <w:lang w:val="fr-FR"/>
        </w:rPr>
        <w:t xml:space="preserve"> vise à contribuer à la formation p</w:t>
      </w:r>
      <w:r>
        <w:rPr>
          <w:lang w:val="fr-FR"/>
        </w:rPr>
        <w:t>rofessionnelle et à stimuler davantage d’ateliers sur ces thèmes à l’avenir. L’idée est de renforcer l’innovation dans des domaines tels que l’analyse des besoins, la planification des programmes d’études, la conception des cours et, bien sûr, la méthodolo</w:t>
      </w:r>
      <w:r>
        <w:rPr>
          <w:lang w:val="fr-FR"/>
        </w:rPr>
        <w:t>gie, tant dans l’enseignement que dans l’évaluation.</w:t>
      </w:r>
    </w:p>
    <w:p w:rsidR="002E1F2A" w:rsidRDefault="006D78A8">
      <w:pPr>
        <w:pStyle w:val="Textkrper"/>
        <w:spacing w:before="0" w:line="252" w:lineRule="auto"/>
        <w:jc w:val="both"/>
        <w:rPr>
          <w:lang w:val="fr-FR"/>
        </w:rPr>
      </w:pPr>
      <w:r>
        <w:rPr>
          <w:lang w:val="fr-FR"/>
        </w:rPr>
        <w:t>De plus, cela peut aider à créer une communauté de pratique, ou une communauté de prat</w:t>
      </w:r>
      <w:bookmarkStart w:id="0" w:name="_GoBack"/>
      <w:bookmarkEnd w:id="0"/>
      <w:r>
        <w:rPr>
          <w:lang w:val="fr-FR"/>
        </w:rPr>
        <w:t xml:space="preserve">ique encore plus forte, qui consolidera la profession d’enseignement et d’évaluation des langues dans son ensemble. </w:t>
      </w:r>
      <w:r>
        <w:rPr>
          <w:lang w:val="fr-FR"/>
        </w:rPr>
        <w:t>Cela aidera à gérer les changements que nous rencontrons actuellement.</w:t>
      </w:r>
    </w:p>
    <w:p w:rsidR="002E1F2A" w:rsidRDefault="006D78A8">
      <w:pPr>
        <w:pStyle w:val="berschrift1"/>
        <w:spacing w:before="118"/>
        <w:jc w:val="both"/>
        <w:rPr>
          <w:lang w:val="fr-FR"/>
        </w:rPr>
      </w:pPr>
      <w:r>
        <w:rPr>
          <w:lang w:val="fr-FR"/>
        </w:rPr>
        <w:t>Diapositive</w:t>
      </w:r>
      <w:r>
        <w:rPr>
          <w:spacing w:val="-4"/>
          <w:lang w:val="fr-FR"/>
        </w:rPr>
        <w:t xml:space="preserve"> </w:t>
      </w:r>
      <w:r>
        <w:rPr>
          <w:spacing w:val="-10"/>
          <w:lang w:val="fr-FR"/>
        </w:rPr>
        <w:t>9</w:t>
      </w:r>
    </w:p>
    <w:p w:rsidR="002E1F2A" w:rsidRDefault="006D78A8">
      <w:pPr>
        <w:pStyle w:val="Textkrper"/>
        <w:spacing w:line="252" w:lineRule="auto"/>
        <w:jc w:val="both"/>
        <w:rPr>
          <w:lang w:val="fr-FR"/>
        </w:rPr>
      </w:pPr>
      <w:r>
        <w:rPr>
          <w:lang w:val="fr-FR"/>
        </w:rPr>
        <w:t xml:space="preserve">Les ressources </w:t>
      </w:r>
      <w:proofErr w:type="spellStart"/>
      <w:r>
        <w:rPr>
          <w:lang w:val="fr-FR"/>
        </w:rPr>
        <w:t>VITbox</w:t>
      </w:r>
      <w:proofErr w:type="spellEnd"/>
      <w:r>
        <w:rPr>
          <w:lang w:val="fr-FR"/>
        </w:rPr>
        <w:t xml:space="preserve"> offrent une boîte à outils qui comprend, par exemple, des vidéo-clips, du matériel textuel et des liens, des informations sur des activités de lectur</w:t>
      </w:r>
      <w:r>
        <w:rPr>
          <w:lang w:val="fr-FR"/>
        </w:rPr>
        <w:t>e complémentaires, des listes de contrôle et des modèles, mais aussi des tâches et des activités dans différentes langues qui peuvent être utilisées dans l’enseignement et l’évaluation, où elles peuvent servir d’exemples de scénarios pour un cours de langu</w:t>
      </w:r>
      <w:r>
        <w:rPr>
          <w:lang w:val="fr-FR"/>
        </w:rPr>
        <w:t>es. Ce matériel est structuré en modules couvrant des sujets spécifiques. La boîte à outils est disponible gratuitement en ligne et peut être adaptée par des formateurs d’enseignants, des éducateurs ou des enseignants.</w:t>
      </w:r>
    </w:p>
    <w:p w:rsidR="002E1F2A" w:rsidRDefault="006D78A8">
      <w:pPr>
        <w:pStyle w:val="berschrift1"/>
        <w:jc w:val="both"/>
        <w:rPr>
          <w:lang w:val="fr-FR"/>
        </w:rPr>
      </w:pPr>
      <w:r>
        <w:rPr>
          <w:lang w:val="fr-FR"/>
        </w:rPr>
        <w:t>Diapositive</w:t>
      </w:r>
      <w:r>
        <w:rPr>
          <w:spacing w:val="-4"/>
          <w:lang w:val="fr-FR"/>
        </w:rPr>
        <w:t xml:space="preserve"> </w:t>
      </w:r>
      <w:r>
        <w:rPr>
          <w:spacing w:val="-5"/>
          <w:lang w:val="fr-FR"/>
        </w:rPr>
        <w:t>10</w:t>
      </w:r>
    </w:p>
    <w:p w:rsidR="002E1F2A" w:rsidRDefault="006D78A8">
      <w:pPr>
        <w:pStyle w:val="Textkrper"/>
        <w:spacing w:line="252" w:lineRule="auto"/>
        <w:ind w:right="159"/>
        <w:jc w:val="both"/>
        <w:rPr>
          <w:lang w:val="fr-FR"/>
        </w:rPr>
      </w:pPr>
      <w:r>
        <w:rPr>
          <w:lang w:val="fr-FR"/>
        </w:rPr>
        <w:t xml:space="preserve">En tant que formateur </w:t>
      </w:r>
      <w:r>
        <w:rPr>
          <w:lang w:val="fr-FR"/>
        </w:rPr>
        <w:t>d’enseignants, formateur dans la formation continue ou en tant qu’enseignant, vous pouvez utiliser cette boîte à outils, l’ouvrir, consulter les ressources et voir ce qui est disponible, puis réfléchir à ce qui pourrait être utile dans votre contexte perso</w:t>
      </w:r>
      <w:r>
        <w:rPr>
          <w:lang w:val="fr-FR"/>
        </w:rPr>
        <w:t>nnel, puis utiliser le matériel tel quel ou bien l’adapter si le matériel ne correspond peut-être pas exactement à vos besoins ; vous pouvez y trouver également des idées sur la façon d’adapter le matériel à votre contexte individuel ou à votre groupe cibl</w:t>
      </w:r>
      <w:r>
        <w:rPr>
          <w:lang w:val="fr-FR"/>
        </w:rPr>
        <w:t>e.</w:t>
      </w:r>
    </w:p>
    <w:p w:rsidR="002E1F2A" w:rsidRDefault="006D78A8">
      <w:pPr>
        <w:pStyle w:val="berschrift1"/>
        <w:spacing w:before="120"/>
        <w:jc w:val="both"/>
        <w:rPr>
          <w:lang w:val="fr-FR"/>
        </w:rPr>
      </w:pPr>
      <w:r>
        <w:rPr>
          <w:lang w:val="fr-FR"/>
        </w:rPr>
        <w:t>Diapositive</w:t>
      </w:r>
      <w:r>
        <w:rPr>
          <w:spacing w:val="-4"/>
          <w:lang w:val="fr-FR"/>
        </w:rPr>
        <w:t xml:space="preserve"> </w:t>
      </w:r>
      <w:r>
        <w:rPr>
          <w:spacing w:val="-5"/>
          <w:lang w:val="fr-FR"/>
        </w:rPr>
        <w:t>11</w:t>
      </w:r>
    </w:p>
    <w:p w:rsidR="002E1F2A" w:rsidRDefault="006D78A8">
      <w:pPr>
        <w:pStyle w:val="Textkrper"/>
        <w:spacing w:before="132" w:line="252" w:lineRule="auto"/>
        <w:ind w:right="159"/>
        <w:jc w:val="both"/>
        <w:rPr>
          <w:lang w:val="fr-FR"/>
        </w:rPr>
      </w:pPr>
      <w:r>
        <w:rPr>
          <w:lang w:val="fr-FR"/>
        </w:rPr>
        <w:t xml:space="preserve">La flexibilité des ressources développées par l’équipe </w:t>
      </w:r>
      <w:proofErr w:type="spellStart"/>
      <w:r>
        <w:rPr>
          <w:lang w:val="fr-FR"/>
        </w:rPr>
        <w:t>VITbox</w:t>
      </w:r>
      <w:proofErr w:type="spellEnd"/>
      <w:r>
        <w:rPr>
          <w:lang w:val="fr-FR"/>
        </w:rPr>
        <w:t xml:space="preserve"> permet aux utilisateurs de s’adresser </w:t>
      </w:r>
      <w:r>
        <w:rPr>
          <w:lang w:val="fr-FR"/>
        </w:rPr>
        <w:lastRenderedPageBreak/>
        <w:t>à différents groupes cibles : tout d’abord, ils peuvent être utilisés par les formateurs d’enseignants en formation initiale puisqu’ils le</w:t>
      </w:r>
      <w:r>
        <w:rPr>
          <w:lang w:val="fr-FR"/>
        </w:rPr>
        <w:t>s aideront à préparer leurs étudiants à leur futur travail en tant que professeurs de langues compétents. Deuxièmement, les formateurs peuvent les utiliser dans des programmes de formation continue et choisir des aspects ou des thèmes spécifiques sur lesqu</w:t>
      </w:r>
      <w:r>
        <w:rPr>
          <w:lang w:val="fr-FR"/>
        </w:rPr>
        <w:t>els ils souhaitent se concentrer dans leurs programmes de formation. Troisièmement, les enseignants peuvent utiliser les ressources à des fins d’auto-apprentissage s’ils souhaitent approfondir des sujets spécifiques qui les intéressent.</w:t>
      </w:r>
    </w:p>
    <w:p w:rsidR="002E1F2A" w:rsidRDefault="006D78A8">
      <w:pPr>
        <w:pStyle w:val="berschrift1"/>
        <w:spacing w:before="120"/>
        <w:rPr>
          <w:lang w:val="fr-FR"/>
        </w:rPr>
      </w:pPr>
      <w:r>
        <w:rPr>
          <w:lang w:val="fr-FR"/>
        </w:rPr>
        <w:t>Diapositive</w:t>
      </w:r>
      <w:r>
        <w:rPr>
          <w:spacing w:val="-4"/>
          <w:lang w:val="fr-FR"/>
        </w:rPr>
        <w:t xml:space="preserve"> </w:t>
      </w:r>
      <w:r>
        <w:rPr>
          <w:spacing w:val="-5"/>
          <w:lang w:val="fr-FR"/>
        </w:rPr>
        <w:t>12</w:t>
      </w:r>
    </w:p>
    <w:p w:rsidR="002E1F2A" w:rsidRDefault="006D78A8">
      <w:pPr>
        <w:pStyle w:val="Textkrper"/>
        <w:spacing w:line="252" w:lineRule="auto"/>
        <w:ind w:right="98"/>
        <w:jc w:val="both"/>
        <w:rPr>
          <w:lang w:val="fr-FR"/>
        </w:rPr>
      </w:pPr>
      <w:r>
        <w:rPr>
          <w:lang w:val="fr-FR"/>
        </w:rPr>
        <w:t>Voic</w:t>
      </w:r>
      <w:r>
        <w:rPr>
          <w:lang w:val="fr-FR"/>
        </w:rPr>
        <w:t xml:space="preserve">i une liste des modules qui ont été mis à disposition par l’équipe </w:t>
      </w:r>
      <w:proofErr w:type="spellStart"/>
      <w:r>
        <w:rPr>
          <w:lang w:val="fr-FR"/>
        </w:rPr>
        <w:t>VITbox</w:t>
      </w:r>
      <w:proofErr w:type="spellEnd"/>
      <w:r>
        <w:rPr>
          <w:lang w:val="fr-FR"/>
        </w:rPr>
        <w:t xml:space="preserve">. En plus de cette introduction, vous trouverez une présentation des aspects novateurs du </w:t>
      </w:r>
      <w:r>
        <w:rPr>
          <w:i/>
          <w:iCs/>
          <w:lang w:val="fr-FR"/>
        </w:rPr>
        <w:t xml:space="preserve">Volume complémentaire </w:t>
      </w:r>
      <w:r>
        <w:rPr>
          <w:lang w:val="fr-FR"/>
        </w:rPr>
        <w:t>du CECR. Ensuite, est à votre disposition un module sur l’approche acti</w:t>
      </w:r>
      <w:r>
        <w:rPr>
          <w:lang w:val="fr-FR"/>
        </w:rPr>
        <w:t>onnelle et la notion de l’apprenant comme acteur social dans l’enseignement, l’apprentissage et l’évaluation des langues. Un autre module aborde le concept des quatre modes de communication et leur relation avec les quatre compétences linguistiques, qui se</w:t>
      </w:r>
      <w:r>
        <w:rPr>
          <w:lang w:val="fr-FR"/>
        </w:rPr>
        <w:t>rt d’introduction aux modules concernant l’interaction et la médiation. Le module sur l’interaction se concentre sur l’interaction écrite et l’interaction en ligne. L’accent sera ensuite mis sur la médiation, car elle est particulièrement pertinente pour l</w:t>
      </w:r>
      <w:r>
        <w:rPr>
          <w:lang w:val="fr-FR"/>
        </w:rPr>
        <w:t>’enseignement des langues dans des contextes professionnels et universitaires. Ce module offre des informations plus détaillées sur les concepts et les stratégies de médiation. Un module présente des idées concernant les approches plurilingues et la manièr</w:t>
      </w:r>
      <w:r>
        <w:rPr>
          <w:lang w:val="fr-FR"/>
        </w:rPr>
        <w:t>e d’intégrer les aspects pluriculturels en cours. Un autre module encore aborde la planification des cours, en mettant l’accent sur l’alignement constructif de l’enseignement, de l’apprentissage et de l’évaluation. Un dernier module, enfin, fournira des id</w:t>
      </w:r>
      <w:r>
        <w:rPr>
          <w:lang w:val="fr-FR"/>
        </w:rPr>
        <w:t xml:space="preserve">ées sur la manière d’utiliser le </w:t>
      </w:r>
      <w:r>
        <w:rPr>
          <w:i/>
          <w:iCs/>
          <w:lang w:val="fr-FR"/>
        </w:rPr>
        <w:t xml:space="preserve">Volume complémentaire </w:t>
      </w:r>
      <w:r>
        <w:rPr>
          <w:lang w:val="fr-FR"/>
        </w:rPr>
        <w:t>du CECR et les ressources mises à disposition par le Conseil de l’Europe et le CELV pour l’enseignement, l’apprentissage et l’évaluation à l’université et dans la formation professionnelle.</w:t>
      </w:r>
    </w:p>
    <w:p w:rsidR="002E1F2A" w:rsidRDefault="006D78A8">
      <w:pPr>
        <w:pStyle w:val="Textkrper"/>
        <w:spacing w:before="121" w:line="252" w:lineRule="auto"/>
        <w:jc w:val="both"/>
        <w:rPr>
          <w:lang w:val="fr-FR"/>
        </w:rPr>
      </w:pPr>
      <w:r>
        <w:rPr>
          <w:lang w:val="fr-FR"/>
        </w:rPr>
        <w:t xml:space="preserve">Ces modules ne couvrent pas tous les aspects du </w:t>
      </w:r>
      <w:r>
        <w:rPr>
          <w:i/>
          <w:iCs/>
          <w:lang w:val="fr-FR"/>
        </w:rPr>
        <w:t>Volume complémentaire</w:t>
      </w:r>
      <w:r>
        <w:rPr>
          <w:lang w:val="fr-FR"/>
        </w:rPr>
        <w:t xml:space="preserve">, mais ceux que l’équipe </w:t>
      </w:r>
      <w:proofErr w:type="spellStart"/>
      <w:r>
        <w:rPr>
          <w:lang w:val="fr-FR"/>
        </w:rPr>
        <w:t>VITbox</w:t>
      </w:r>
      <w:proofErr w:type="spellEnd"/>
      <w:r>
        <w:rPr>
          <w:lang w:val="fr-FR"/>
        </w:rPr>
        <w:t xml:space="preserve"> a identifiés comme particulièrement précieux dans le contexte de l’enseignement et de l’évaluation des langues dans les contextes professionnels et univers</w:t>
      </w:r>
      <w:r>
        <w:rPr>
          <w:lang w:val="fr-FR"/>
        </w:rPr>
        <w:t>itaires</w:t>
      </w:r>
      <w:r>
        <w:rPr>
          <w:spacing w:val="-2"/>
          <w:lang w:val="fr-FR"/>
        </w:rPr>
        <w:t>.</w:t>
      </w:r>
    </w:p>
    <w:p w:rsidR="002E1F2A" w:rsidRDefault="006D78A8">
      <w:pPr>
        <w:pStyle w:val="berschrift1"/>
        <w:jc w:val="both"/>
        <w:rPr>
          <w:lang w:val="fr-FR"/>
        </w:rPr>
      </w:pPr>
      <w:r>
        <w:rPr>
          <w:lang w:val="fr-FR"/>
        </w:rPr>
        <w:t>Diapositive</w:t>
      </w:r>
      <w:r>
        <w:rPr>
          <w:spacing w:val="-4"/>
          <w:lang w:val="fr-FR"/>
        </w:rPr>
        <w:t xml:space="preserve"> </w:t>
      </w:r>
      <w:r>
        <w:rPr>
          <w:spacing w:val="-5"/>
          <w:lang w:val="fr-FR"/>
        </w:rPr>
        <w:t>13</w:t>
      </w:r>
    </w:p>
    <w:p w:rsidR="002E1F2A" w:rsidRDefault="006D78A8">
      <w:pPr>
        <w:pStyle w:val="Textkrper"/>
        <w:spacing w:line="252" w:lineRule="auto"/>
        <w:jc w:val="both"/>
        <w:rPr>
          <w:lang w:val="fr-FR"/>
        </w:rPr>
      </w:pPr>
      <w:r>
        <w:rPr>
          <w:lang w:val="fr-FR"/>
        </w:rPr>
        <w:t xml:space="preserve">Nous vous invitons maintenant à jeter un coup d’œil au site Web </w:t>
      </w:r>
      <w:proofErr w:type="spellStart"/>
      <w:r>
        <w:rPr>
          <w:lang w:val="fr-FR"/>
        </w:rPr>
        <w:t>VITbox</w:t>
      </w:r>
      <w:proofErr w:type="spellEnd"/>
      <w:r>
        <w:rPr>
          <w:lang w:val="fr-FR"/>
        </w:rPr>
        <w:t>, à ouvrir la boîte à outils, à jeter un coup d’œil à l’intérieur, à regarder les ressources et à décider ensuite du matériel que vous souhaitez utiliser dans vos</w:t>
      </w:r>
      <w:r>
        <w:rPr>
          <w:lang w:val="fr-FR"/>
        </w:rPr>
        <w:t xml:space="preserve"> programmes de formation. En cliquant </w:t>
      </w:r>
      <w:hyperlink r:id="rId6" w:history="1">
        <w:r>
          <w:rPr>
            <w:rStyle w:val="Hyperlink"/>
            <w:lang w:val="fr-FR"/>
          </w:rPr>
          <w:t>ici</w:t>
        </w:r>
      </w:hyperlink>
      <w:r>
        <w:rPr>
          <w:lang w:val="fr-FR"/>
        </w:rPr>
        <w:t xml:space="preserve"> vous serez redirigés vers le site web. En regardant le slogan pour le programme 2020-2023 du CELV, nous espérons que la boîte à outils </w:t>
      </w:r>
      <w:proofErr w:type="spellStart"/>
      <w:r>
        <w:rPr>
          <w:lang w:val="fr-FR"/>
        </w:rPr>
        <w:t>VITbox</w:t>
      </w:r>
      <w:proofErr w:type="spellEnd"/>
      <w:r>
        <w:rPr>
          <w:lang w:val="fr-FR"/>
        </w:rPr>
        <w:t xml:space="preserve"> et ses ressour</w:t>
      </w:r>
      <w:r>
        <w:rPr>
          <w:lang w:val="fr-FR"/>
        </w:rPr>
        <w:t>ces inspireront l’innovation dans l’enseignement et la formation linguistiques, et qu’elles contribueront à améliorer les compétences pédagogiques de nos enseignants.</w:t>
      </w:r>
    </w:p>
    <w:p w:rsidR="002E1F2A" w:rsidRDefault="006D78A8">
      <w:pPr>
        <w:pStyle w:val="berschrift1"/>
        <w:rPr>
          <w:lang w:val="fr-FR"/>
        </w:rPr>
      </w:pPr>
      <w:r>
        <w:rPr>
          <w:lang w:val="fr-FR"/>
        </w:rPr>
        <w:t>Diapositive</w:t>
      </w:r>
      <w:r>
        <w:rPr>
          <w:spacing w:val="-4"/>
          <w:lang w:val="fr-FR"/>
        </w:rPr>
        <w:t xml:space="preserve"> </w:t>
      </w:r>
      <w:r>
        <w:rPr>
          <w:spacing w:val="-5"/>
          <w:lang w:val="fr-FR"/>
        </w:rPr>
        <w:t>14</w:t>
      </w:r>
    </w:p>
    <w:p w:rsidR="002E1F2A" w:rsidRDefault="006D78A8">
      <w:pPr>
        <w:pStyle w:val="Textkrper"/>
        <w:spacing w:before="132"/>
        <w:rPr>
          <w:lang w:val="fr-FR"/>
        </w:rPr>
      </w:pPr>
      <w:r>
        <w:rPr>
          <w:lang w:val="fr-FR"/>
        </w:rPr>
        <w:t>Si vous avez des questions, des commentaires ou des suggestions, n’hésitez</w:t>
      </w:r>
      <w:r>
        <w:rPr>
          <w:lang w:val="fr-FR"/>
        </w:rPr>
        <w:t xml:space="preserve"> pas à nous contacter</w:t>
      </w:r>
      <w:r>
        <w:rPr>
          <w:spacing w:val="-5"/>
          <w:lang w:val="fr-FR"/>
        </w:rPr>
        <w:t>.</w:t>
      </w:r>
    </w:p>
    <w:sectPr w:rsidR="002E1F2A">
      <w:headerReference w:type="even" r:id="rId7"/>
      <w:headerReference w:type="default" r:id="rId8"/>
      <w:footerReference w:type="default" r:id="rId9"/>
      <w:headerReference w:type="first" r:id="rId10"/>
      <w:footerReference w:type="first" r:id="rId11"/>
      <w:type w:val="continuous"/>
      <w:pgSz w:w="11910" w:h="16840"/>
      <w:pgMar w:top="1418" w:right="1418" w:bottom="1134" w:left="1418" w:header="454" w:footer="12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8A8" w:rsidRDefault="006D78A8">
      <w:r>
        <w:separator/>
      </w:r>
    </w:p>
  </w:endnote>
  <w:endnote w:type="continuationSeparator" w:id="0">
    <w:p w:rsidR="006D78A8" w:rsidRDefault="006D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2E1F2A">
      <w:trPr>
        <w:trHeight w:val="574"/>
      </w:trPr>
      <w:tc>
        <w:tcPr>
          <w:tcW w:w="6663" w:type="dxa"/>
        </w:tcPr>
        <w:p w:rsidR="002E1F2A" w:rsidRDefault="006D78A8">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251661312" behindDoc="0" locked="0" layoutInCell="1" allowOverlap="1">
                    <wp:simplePos x="0" y="0"/>
                    <wp:positionH relativeFrom="margin">
                      <wp:posOffset>24765</wp:posOffset>
                    </wp:positionH>
                    <wp:positionV relativeFrom="paragraph">
                      <wp:posOffset>6350</wp:posOffset>
                    </wp:positionV>
                    <wp:extent cx="4147185" cy="5080"/>
                    <wp:effectExtent l="0" t="0" r="24765" b="33020"/>
                    <wp:wrapNone/>
                    <wp:docPr id="1"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id="Straight Connector 189"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CDD4FB1QEAAIQ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r>
            <w:fldChar w:fldCharType="begin"/>
          </w:r>
          <w:r w:rsidRPr="006558F6">
            <w:rPr>
              <w:lang w:val="fr-FR"/>
            </w:rPr>
            <w:instrText xml:space="preserve"> HYPERLINK "https://creativecommons.org/licenses/by-nc-sa/4.0/deed.fr" </w:instrText>
          </w:r>
          <w:r>
            <w:fldChar w:fldCharType="separate"/>
          </w:r>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r>
            <w:rPr>
              <w:rStyle w:val="Hyperlink"/>
              <w:sz w:val="16"/>
              <w:szCs w:val="16"/>
              <w:lang w:val="fr-FR"/>
            </w:rPr>
            <w:fldChar w:fldCharType="end"/>
          </w:r>
          <w:r>
            <w:rPr>
              <w:rStyle w:val="Hyperlink"/>
              <w:sz w:val="16"/>
              <w:szCs w:val="16"/>
              <w:lang w:val="fr-FR"/>
            </w:rPr>
            <w:t xml:space="preserve"> </w:t>
          </w:r>
          <w:r>
            <w:rPr>
              <w:sz w:val="16"/>
              <w:szCs w:val="16"/>
              <w:lang w:val="fr-FR"/>
            </w:rPr>
            <w:t>Attribution : Activité originale provenant de</w:t>
          </w:r>
        </w:p>
        <w:p w:rsidR="002E1F2A" w:rsidRDefault="006D78A8">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w:t>
          </w:r>
          <w:r>
            <w:rPr>
              <w:rFonts w:cstheme="minorHAnsi"/>
              <w:i/>
              <w:iCs/>
              <w:sz w:val="16"/>
              <w:szCs w:val="16"/>
              <w:lang w:val="fr-FR"/>
            </w:rPr>
            <w:t>lémentaire du CECR</w:t>
          </w:r>
          <w:r>
            <w:rPr>
              <w:rFonts w:cstheme="minorHAnsi"/>
              <w:sz w:val="16"/>
              <w:szCs w:val="16"/>
              <w:lang w:val="fr-FR"/>
            </w:rPr>
            <w:t xml:space="preserve">, Conseil de l'Europe (Centre européen pour les langues vivantes), 2023, </w:t>
          </w:r>
          <w:hyperlink r:id="rId1" w:history="1">
            <w:r>
              <w:rPr>
                <w:rStyle w:val="Hyperlink"/>
                <w:sz w:val="16"/>
                <w:szCs w:val="16"/>
                <w:lang w:val="fr-FR"/>
              </w:rPr>
              <w:t>www.ecml.at/companionvolumetoolbox</w:t>
            </w:r>
          </w:hyperlink>
          <w:r>
            <w:rPr>
              <w:rFonts w:eastAsia="Times New Roman" w:cs="Times New Roman"/>
              <w:sz w:val="16"/>
              <w:szCs w:val="16"/>
              <w:lang w:val="fr-FR"/>
            </w:rPr>
            <w:t>.</w:t>
          </w:r>
        </w:p>
      </w:tc>
      <w:tc>
        <w:tcPr>
          <w:tcW w:w="2693" w:type="dxa"/>
        </w:tcPr>
        <w:p w:rsidR="002E1F2A" w:rsidRDefault="006D78A8">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extent cx="1572895" cy="535940"/>
                <wp:effectExtent l="0" t="0" r="8255" b="0"/>
                <wp:docPr id="2" name="Grafik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rsidR="002E1F2A" w:rsidRDefault="002E1F2A">
    <w:pPr>
      <w:widowControl/>
      <w:tabs>
        <w:tab w:val="center" w:pos="4536"/>
        <w:tab w:val="right" w:pos="9072"/>
      </w:tabs>
      <w:autoSpaceDE/>
      <w:autoSpaceDN/>
      <w:ind w:left="-108"/>
      <w:jc w:val="both"/>
      <w:rPr>
        <w:rFonts w:eastAsia="Times New Roman" w:cs="Times New Roman"/>
        <w:sz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693"/>
    </w:tblGrid>
    <w:tr w:rsidR="002E1F2A">
      <w:trPr>
        <w:trHeight w:val="574"/>
      </w:trPr>
      <w:tc>
        <w:tcPr>
          <w:tcW w:w="6663" w:type="dxa"/>
        </w:tcPr>
        <w:bookmarkStart w:id="1" w:name="_Hlk182398930"/>
        <w:bookmarkStart w:id="2" w:name="_Hlk182398992"/>
        <w:bookmarkStart w:id="3" w:name="_Hlk182398993"/>
        <w:p w:rsidR="002E1F2A" w:rsidRDefault="006D78A8">
          <w:pPr>
            <w:pStyle w:val="Footer1"/>
            <w:ind w:left="172"/>
            <w:jc w:val="left"/>
            <w:rPr>
              <w:sz w:val="16"/>
              <w:szCs w:val="16"/>
              <w:lang w:val="fr-FR"/>
            </w:rPr>
          </w:pPr>
          <w:r>
            <w:rPr>
              <w:rFonts w:eastAsia="Times New Roman" w:cs="Times New Roman"/>
              <w:noProof/>
              <w:lang w:val="de-AT" w:eastAsia="de-AT"/>
            </w:rPr>
            <mc:AlternateContent>
              <mc:Choice Requires="wps">
                <w:drawing>
                  <wp:anchor distT="0" distB="0" distL="114300" distR="114300" simplePos="0" relativeHeight="251659264" behindDoc="0" locked="0" layoutInCell="1" allowOverlap="1">
                    <wp:simplePos x="0" y="0"/>
                    <wp:positionH relativeFrom="margin">
                      <wp:posOffset>24765</wp:posOffset>
                    </wp:positionH>
                    <wp:positionV relativeFrom="paragraph">
                      <wp:posOffset>6350</wp:posOffset>
                    </wp:positionV>
                    <wp:extent cx="4147185" cy="5080"/>
                    <wp:effectExtent l="0" t="0" r="24765" b="33020"/>
                    <wp:wrapNone/>
                    <wp:docPr id="189" name="Straight Connector 189"/>
                    <wp:cNvGraphicFramePr/>
                    <a:graphic xmlns:a="http://schemas.openxmlformats.org/drawingml/2006/main">
                      <a:graphicData uri="http://schemas.microsoft.com/office/word/2010/wordprocessingShape">
                        <wps:wsp>
                          <wps:cNvCnPr/>
                          <wps:spPr>
                            <a:xfrm flipV="1">
                              <a:off x="0" y="0"/>
                              <a:ext cx="4147185" cy="508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id="Straight Connector 18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pt" to="3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" strokecolor="#a5a5a5" strokeweight="1pt">
                    <v:stroke joinstyle="miter"/>
                    <w10:wrap anchorx="margin"/>
                  </v:line>
                </w:pict>
              </mc:Fallback>
            </mc:AlternateContent>
          </w:r>
          <w:r>
            <w:rPr>
              <w:rFonts w:eastAsia="Times New Roman"/>
              <w:color w:val="464646"/>
              <w:sz w:val="16"/>
              <w:szCs w:val="16"/>
              <w:shd w:val="clear" w:color="auto" w:fill="FFFFFF"/>
              <w:lang w:val="fr-FR"/>
            </w:rPr>
            <w:t xml:space="preserve">© 2023. </w:t>
          </w:r>
          <w:r>
            <w:rPr>
              <w:sz w:val="16"/>
              <w:szCs w:val="16"/>
              <w:lang w:val="fr-FR"/>
            </w:rPr>
            <w:t xml:space="preserve">Cette œuvre est soumise à la licence internationale </w:t>
          </w:r>
          <w:r>
            <w:fldChar w:fldCharType="begin"/>
          </w:r>
          <w:r w:rsidRPr="006558F6">
            <w:rPr>
              <w:lang w:val="fr-FR"/>
            </w:rPr>
            <w:instrText xml:space="preserve"> HYPERLINK "https://creativecommons.org/licenses/by-nc-sa/4.0/deed.fr" </w:instrText>
          </w:r>
          <w:r>
            <w:fldChar w:fldCharType="separate"/>
          </w:r>
          <w:r>
            <w:rPr>
              <w:rStyle w:val="Hyperlink"/>
              <w:sz w:val="16"/>
              <w:szCs w:val="16"/>
              <w:lang w:val="fr-FR"/>
            </w:rPr>
            <w:t xml:space="preserve">Attribution – Pas d’Utilisation Commerciale – Partage dans les Mêmes Conditions 4.0 International Creative Commons </w:t>
          </w:r>
          <w:r>
            <w:rPr>
              <w:rStyle w:val="Hyperlink"/>
              <w:sz w:val="16"/>
              <w:szCs w:val="16"/>
              <w:lang w:val="fr-FR"/>
            </w:rPr>
            <w:br/>
            <w:t>CC BY-NC-SA 4.0).</w:t>
          </w:r>
          <w:r>
            <w:rPr>
              <w:rStyle w:val="Hyperlink"/>
              <w:sz w:val="16"/>
              <w:szCs w:val="16"/>
              <w:lang w:val="fr-FR"/>
            </w:rPr>
            <w:fldChar w:fldCharType="end"/>
          </w:r>
          <w:r>
            <w:rPr>
              <w:rStyle w:val="Hyperlink"/>
              <w:sz w:val="16"/>
              <w:szCs w:val="16"/>
              <w:lang w:val="fr-FR"/>
            </w:rPr>
            <w:t xml:space="preserve"> </w:t>
          </w:r>
          <w:r>
            <w:rPr>
              <w:sz w:val="16"/>
              <w:szCs w:val="16"/>
              <w:lang w:val="fr-FR"/>
            </w:rPr>
            <w:t>Attribution : Activité originale provenant de</w:t>
          </w:r>
        </w:p>
        <w:p w:rsidR="002E1F2A" w:rsidRDefault="006D78A8">
          <w:pPr>
            <w:pStyle w:val="Footer1"/>
            <w:ind w:left="172"/>
            <w:jc w:val="left"/>
            <w:rPr>
              <w:rFonts w:eastAsia="Times New Roman"/>
              <w:i/>
              <w:iCs/>
              <w:color w:val="464646"/>
              <w:sz w:val="16"/>
              <w:szCs w:val="16"/>
              <w:shd w:val="clear" w:color="auto" w:fill="FFFFFF"/>
              <w:lang w:val="fr-FR"/>
            </w:rPr>
          </w:pPr>
          <w:r>
            <w:rPr>
              <w:rFonts w:cstheme="minorHAnsi"/>
              <w:sz w:val="16"/>
              <w:szCs w:val="16"/>
              <w:lang w:val="fr-FR"/>
            </w:rPr>
            <w:t>Fisc</w:t>
          </w:r>
          <w:r>
            <w:rPr>
              <w:rFonts w:cstheme="minorHAnsi"/>
              <w:sz w:val="16"/>
              <w:szCs w:val="16"/>
              <w:lang w:val="fr-FR"/>
            </w:rPr>
            <w:t>her Johann (</w:t>
          </w:r>
          <w:r>
            <w:rPr>
              <w:rFonts w:cstheme="minorHAnsi"/>
              <w:i/>
              <w:iCs/>
              <w:sz w:val="16"/>
              <w:szCs w:val="16"/>
              <w:lang w:val="fr-FR"/>
            </w:rPr>
            <w:t>et al.</w:t>
          </w:r>
          <w:r>
            <w:rPr>
              <w:rFonts w:cstheme="minorHAnsi"/>
              <w:sz w:val="16"/>
              <w:szCs w:val="16"/>
              <w:lang w:val="fr-FR"/>
            </w:rPr>
            <w:t xml:space="preserve">), </w:t>
          </w:r>
          <w:r>
            <w:rPr>
              <w:rFonts w:cstheme="minorHAnsi"/>
              <w:i/>
              <w:iCs/>
              <w:sz w:val="16"/>
              <w:szCs w:val="16"/>
              <w:lang w:val="fr-FR"/>
            </w:rPr>
            <w:t>Boîte à outils pour la mise en œuvre du Volume complémentaire du CECR</w:t>
          </w:r>
          <w:r>
            <w:rPr>
              <w:rFonts w:cstheme="minorHAnsi"/>
              <w:sz w:val="16"/>
              <w:szCs w:val="16"/>
              <w:lang w:val="fr-FR"/>
            </w:rPr>
            <w:t xml:space="preserve">, Conseil de l'Europe (Centre européen pour les langues vivantes), 2023, </w:t>
          </w:r>
          <w:hyperlink r:id="rId1" w:history="1">
            <w:r>
              <w:rPr>
                <w:rStyle w:val="Hyperlink"/>
                <w:sz w:val="16"/>
                <w:szCs w:val="16"/>
                <w:lang w:val="fr-FR"/>
              </w:rPr>
              <w:t>www.ecml.at/companionvolumetoolbox</w:t>
            </w:r>
          </w:hyperlink>
          <w:r>
            <w:rPr>
              <w:rFonts w:eastAsia="Times New Roman" w:cs="Times New Roman"/>
              <w:sz w:val="16"/>
              <w:szCs w:val="16"/>
              <w:lang w:val="fr-FR"/>
            </w:rPr>
            <w:t>.</w:t>
          </w:r>
        </w:p>
      </w:tc>
      <w:tc>
        <w:tcPr>
          <w:tcW w:w="2693" w:type="dxa"/>
        </w:tcPr>
        <w:p w:rsidR="002E1F2A" w:rsidRDefault="006D78A8">
          <w:pPr>
            <w:ind w:right="-109"/>
            <w:jc w:val="right"/>
            <w:rPr>
              <w:rFonts w:eastAsia="Times New Roman" w:cs="Times New Roman"/>
              <w:sz w:val="16"/>
              <w:szCs w:val="16"/>
              <w:lang w:val="en-GB"/>
            </w:rPr>
          </w:pPr>
          <w:r>
            <w:rPr>
              <w:rFonts w:eastAsia="Times New Roman" w:cs="Times New Roman"/>
              <w:noProof/>
              <w:sz w:val="16"/>
              <w:szCs w:val="16"/>
              <w:lang w:val="en-GB"/>
            </w:rPr>
            <w:drawing>
              <wp:inline distT="0" distB="0" distL="0" distR="0">
                <wp:extent cx="1572895" cy="535940"/>
                <wp:effectExtent l="0" t="0" r="8255" b="0"/>
                <wp:docPr id="27" name="Grafik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1"/>
    <w:bookmarkEnd w:id="2"/>
    <w:bookmarkEnd w:id="3"/>
  </w:tbl>
  <w:p w:rsidR="002E1F2A" w:rsidRDefault="002E1F2A">
    <w:pPr>
      <w:widowControl/>
      <w:tabs>
        <w:tab w:val="center" w:pos="4536"/>
        <w:tab w:val="right" w:pos="9072"/>
      </w:tabs>
      <w:autoSpaceDE/>
      <w:autoSpaceDN/>
      <w:ind w:left="-108"/>
      <w:jc w:val="both"/>
      <w:rPr>
        <w:rFonts w:eastAsia="Times New Roman" w:cs="Times New Roman"/>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8A8" w:rsidRDefault="006D78A8">
      <w:r>
        <w:separator/>
      </w:r>
    </w:p>
  </w:footnote>
  <w:footnote w:type="continuationSeparator" w:id="0">
    <w:p w:rsidR="006D78A8" w:rsidRDefault="006D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24923306"/>
      <w:docPartObj>
        <w:docPartGallery w:val="Page Numbers (Top of Page)"/>
        <w:docPartUnique/>
      </w:docPartObj>
    </w:sdtPr>
    <w:sdtEndPr>
      <w:rPr>
        <w:rStyle w:val="Seitenzahl"/>
      </w:rPr>
    </w:sdtEndPr>
    <w:sdtContent>
      <w:p w:rsidR="002E1F2A" w:rsidRDefault="006D78A8">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2E1F2A" w:rsidRDefault="002E1F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10032388"/>
      <w:docPartObj>
        <w:docPartGallery w:val="Page Numbers (Top of Page)"/>
        <w:docPartUnique/>
      </w:docPartObj>
    </w:sdtPr>
    <w:sdtEndPr>
      <w:rPr>
        <w:rStyle w:val="Seitenzahl"/>
      </w:rPr>
    </w:sdtEndPr>
    <w:sdtContent>
      <w:p w:rsidR="002E1F2A" w:rsidRDefault="006D78A8">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rsidR="002E1F2A" w:rsidRDefault="002E1F2A">
    <w:pPr>
      <w:pStyle w:val="Textkrper"/>
      <w:spacing w:before="0"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F2A" w:rsidRDefault="006D78A8">
    <w:pPr>
      <w:pStyle w:val="Kopfzeile"/>
      <w:jc w:val="right"/>
    </w:pPr>
    <w:r>
      <w:rPr>
        <w:noProof/>
        <w:lang w:val="de-AT" w:eastAsia="de-AT"/>
      </w:rPr>
      <w:drawing>
        <wp:inline distT="0" distB="0" distL="0" distR="0">
          <wp:extent cx="923925" cy="596888"/>
          <wp:effectExtent l="0" t="0" r="0" b="0"/>
          <wp:docPr id="8" name="Picture 8" descr="https://www.ecml.at/Portals/1/6MTP/project-fischer/images/logo-CEFRcompaniontool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cml.at/Portals/1/6MTP/project-fischer/images/logo-CEFRcompaniontoolbox.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6371" cy="6049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2A"/>
    <w:rsid w:val="002E1F2A"/>
    <w:rsid w:val="006558F6"/>
    <w:rsid w:val="006D7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5CB1"/>
  <w15:docId w15:val="{CFB0A67A-8C2D-E944-A19D-FD04B7E4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119"/>
      <w:ind w:left="112"/>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5"/>
      <w:ind w:left="112"/>
    </w:pPr>
  </w:style>
  <w:style w:type="paragraph" w:styleId="Titel">
    <w:name w:val="Title"/>
    <w:basedOn w:val="Standard"/>
    <w:uiPriority w:val="10"/>
    <w:qFormat/>
    <w:pPr>
      <w:ind w:left="57" w:right="29"/>
      <w:jc w:val="center"/>
    </w:pPr>
    <w:rPr>
      <w:rFonts w:ascii="Century Gothic" w:eastAsia="Century Gothic" w:hAnsi="Century Gothic" w:cs="Century Gothic"/>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eastAsia="Calibri" w:hAnsi="Calibri" w:cs="Calibri"/>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eastAsia="Calibri" w:hAnsi="Calibri" w:cs="Calibri"/>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39"/>
    <w:pPr>
      <w:widowControl/>
      <w:autoSpaceDE/>
      <w:autoSpaceDN/>
      <w:jc w:val="both"/>
    </w:pPr>
    <w:rPr>
      <w:rFonts w:eastAsiaTheme="minorEastAsia"/>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pPr>
      <w:widowControl/>
      <w:autoSpaceDE/>
      <w:autoSpaceDN/>
      <w:ind w:left="-108"/>
      <w:jc w:val="both"/>
    </w:pPr>
    <w:rPr>
      <w:rFonts w:eastAsiaTheme="minorEastAsia"/>
      <w:sz w:val="18"/>
      <w:lang w:val="en-GB"/>
    </w:rPr>
  </w:style>
  <w:style w:type="character" w:customStyle="1" w:styleId="footerChar">
    <w:name w:val="footer Char"/>
    <w:basedOn w:val="FuzeileZchn"/>
    <w:link w:val="Footer1"/>
    <w:rPr>
      <w:rFonts w:ascii="Calibri" w:eastAsiaTheme="minorEastAsia" w:hAnsi="Calibri" w:cs="Calibri"/>
      <w:sz w:val="18"/>
      <w:lang w:val="en-GB"/>
    </w:rPr>
  </w:style>
  <w:style w:type="character" w:styleId="Seitenzahl">
    <w:name w:val="page number"/>
    <w:basedOn w:val="Absatz-Standardschriftart"/>
    <w:uiPriority w:val="99"/>
    <w:semiHidden/>
    <w:unhideWhenUsed/>
  </w:style>
  <w:style w:type="table" w:customStyle="1" w:styleId="Tabellenraster1">
    <w:name w:val="Tabellenraster1"/>
    <w:basedOn w:val="NormaleTabelle"/>
    <w:next w:val="Tabellenraster"/>
    <w:uiPriority w:val="39"/>
    <w:pPr>
      <w:widowControl/>
      <w:autoSpaceDE/>
      <w:autoSpaceDN/>
      <w:jc w:val="both"/>
    </w:pPr>
    <w:rPr>
      <w:rFonts w:eastAsia="Times New Roman"/>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widowControl/>
      <w:autoSpaceDE/>
      <w:autoSpaceDN/>
    </w:pPr>
    <w:rPr>
      <w:rFonts w:ascii="Calibri" w:eastAsia="Calibri" w:hAnsi="Calibri" w:cs="Calibri"/>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ml.at/companionvolumetoolbox"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cml.at/companionvolumetoolbo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cml.at/companionvolumetoolbo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8090</Characters>
  <Application>Microsoft Office Word</Application>
  <DocSecurity>0</DocSecurity>
  <Lines>67</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Friedrich</dc:creator>
  <cp:lastModifiedBy>Johann Fischer</cp:lastModifiedBy>
  <cp:revision>3</cp:revision>
  <dcterms:created xsi:type="dcterms:W3CDTF">2025-02-07T16:32:00Z</dcterms:created>
  <dcterms:modified xsi:type="dcterms:W3CDTF">2025-02-09T14:16:00Z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2024-03-12T00:00:00Z</vt:filetime>
  </property>
  <property fmtid="{D5CDD505-2E9C-101B-9397-08002B2CF9AE}" pid="5" name="Producer">
    <vt:lpwstr>Microsoft® Word for Microsoft 365</vt:lpwstr>
  </property>
</Properties>
</file>