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berschrift4"/>
        <w:numPr>
          <w:ilvl w:val="0"/>
          <w:numId w:val="0"/>
        </w:numPr>
        <w:jc w:val="center"/>
        <w:rPr>
          <w:lang w:val="fr-FR" w:eastAsia="es-ES"/>
        </w:rPr>
      </w:pPr>
      <w:r>
        <w:rPr>
          <w:rFonts w:ascii="Century Gothic" w:hAnsi="Century Gothic"/>
          <w:lang w:val="fr-FR"/>
        </w:rPr>
        <w:t>Boîte à outils pour la mise en œuvre du Volume complémentaire du CECR</w:t>
      </w:r>
    </w:p>
    <w:p>
      <w:pPr>
        <w:pStyle w:val="Titel"/>
        <w:jc w:val="center"/>
        <w:rPr>
          <w:sz w:val="44"/>
          <w:szCs w:val="36"/>
          <w:lang w:val="fr-FR"/>
        </w:rPr>
      </w:pPr>
      <w:r>
        <w:rPr>
          <w:sz w:val="44"/>
          <w:szCs w:val="36"/>
          <w:lang w:val="fr-FR"/>
        </w:rPr>
        <w:t xml:space="preserve">Modèle de présentation d'une tâche </w:t>
      </w:r>
      <w:r>
        <w:rPr>
          <w:sz w:val="44"/>
          <w:szCs w:val="36"/>
          <w:lang w:val="fr-FR"/>
        </w:rPr>
        <w:br/>
        <w:t>pour l’utilisation des descripteurs du CECR</w:t>
      </w:r>
    </w:p>
    <w:p>
      <w:pPr>
        <w:pStyle w:val="berschrift3"/>
        <w:numPr>
          <w:ilvl w:val="0"/>
          <w:numId w:val="0"/>
        </w:numPr>
        <w:spacing w:after="120"/>
        <w:rPr>
          <w:sz w:val="28"/>
          <w:szCs w:val="28"/>
          <w:lang w:val="fr-FR" w:eastAsia="es-ES"/>
        </w:rPr>
      </w:pPr>
      <w:r>
        <w:rPr>
          <w:sz w:val="28"/>
          <w:szCs w:val="28"/>
          <w:lang w:val="fr-FR" w:eastAsia="es-ES"/>
        </w:rPr>
        <w:t xml:space="preserve">Exemple 1 : </w:t>
      </w:r>
      <w:r>
        <w:rPr>
          <w:i/>
          <w:sz w:val="28"/>
          <w:szCs w:val="28"/>
          <w:lang w:val="fr-FR" w:eastAsia="es-ES"/>
        </w:rPr>
        <w:t>[ajoutez ici le titre]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>
        <w:tc>
          <w:tcPr>
            <w:tcW w:w="90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26"/>
              </w:tabs>
              <w:spacing w:before="120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 xml:space="preserve">Titre : </w:t>
            </w:r>
            <w:r>
              <w:rPr>
                <w:b/>
                <w:sz w:val="22"/>
                <w:szCs w:val="22"/>
                <w:lang w:val="fr-FR"/>
              </w:rPr>
              <w:tab/>
            </w:r>
            <w:r>
              <w:rPr>
                <w:b/>
                <w:i/>
                <w:sz w:val="22"/>
                <w:szCs w:val="22"/>
                <w:lang w:val="fr-FR"/>
              </w:rPr>
              <w:t>[Ajoutez ici le titre de la tâche ou de l’activité]</w:t>
            </w:r>
          </w:p>
        </w:tc>
      </w:tr>
      <w:tr>
        <w:tc>
          <w:tcPr>
            <w:tcW w:w="90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70"/>
              </w:tabs>
              <w:spacing w:before="100" w:after="10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Langue : </w:t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i/>
                <w:sz w:val="22"/>
                <w:szCs w:val="22"/>
                <w:lang w:val="fr-FR"/>
              </w:rPr>
              <w:t>[ajoutez la langue cible]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26"/>
                <w:tab w:val="left" w:pos="2860"/>
              </w:tabs>
              <w:spacing w:before="100" w:after="100"/>
              <w:rPr>
                <w:i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Niveau CECR : </w:t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i/>
                <w:sz w:val="22"/>
                <w:szCs w:val="22"/>
                <w:lang w:val="fr-FR"/>
              </w:rPr>
              <w:t>[ajoutez le descripteur CECR, par exemple B2]</w:t>
            </w:r>
          </w:p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426"/>
              </w:tabs>
              <w:spacing w:before="100" w:after="100"/>
              <w:ind w:left="2867" w:hanging="2867"/>
              <w:rPr>
                <w:b/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Enseignement ou évaluation :</w:t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i/>
                <w:sz w:val="22"/>
                <w:szCs w:val="22"/>
                <w:lang w:val="fr-FR"/>
              </w:rPr>
              <w:t>[Sélectionnez l’objectif de la tâche, c’est-à-dire « Enseignement » ou « Évaluation »]</w:t>
            </w:r>
          </w:p>
        </w:tc>
      </w:tr>
      <w:tr>
        <w:tc>
          <w:tcPr>
            <w:tcW w:w="9016" w:type="dxa"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Auteur : </w:t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sz w:val="22"/>
                <w:szCs w:val="22"/>
                <w:lang w:val="fr-FR"/>
              </w:rPr>
              <w:tab/>
            </w:r>
            <w:r>
              <w:rPr>
                <w:i/>
                <w:sz w:val="22"/>
                <w:szCs w:val="22"/>
                <w:lang w:val="fr-FR"/>
              </w:rPr>
              <w:t>[ajoutez le nom de l’auteur / des auteurs]</w:t>
            </w:r>
          </w:p>
        </w:tc>
      </w:tr>
    </w:tbl>
    <w:p>
      <w:pPr>
        <w:spacing w:before="12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Introduction à la tâche</w:t>
      </w:r>
    </w:p>
    <w:p>
      <w:pPr>
        <w:rPr>
          <w:i/>
          <w:sz w:val="22"/>
          <w:szCs w:val="22"/>
          <w:lang w:val="fr-FR"/>
        </w:rPr>
      </w:pPr>
      <w:r>
        <w:rPr>
          <w:i/>
          <w:sz w:val="22"/>
          <w:szCs w:val="22"/>
          <w:lang w:val="fr-FR"/>
        </w:rPr>
        <w:t>[</w:t>
      </w:r>
      <w:proofErr w:type="gramStart"/>
      <w:r>
        <w:rPr>
          <w:i/>
          <w:sz w:val="22"/>
          <w:szCs w:val="22"/>
          <w:lang w:val="fr-FR"/>
        </w:rPr>
        <w:t>ajoutez</w:t>
      </w:r>
      <w:proofErr w:type="gramEnd"/>
      <w:r>
        <w:rPr>
          <w:i/>
          <w:sz w:val="22"/>
          <w:szCs w:val="22"/>
          <w:lang w:val="fr-FR"/>
        </w:rPr>
        <w:t xml:space="preserve"> une brève description de la tâche pour servir d’introduction]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>
        <w:trPr>
          <w:trHeight w:val="119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120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Présentation de la tâche</w:t>
            </w:r>
          </w:p>
          <w:p>
            <w:pPr>
              <w:spacing w:before="120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[Ajoutez ici une description détaillée de la tâche]</w:t>
            </w:r>
          </w:p>
          <w:p>
            <w:pPr>
              <w:spacing w:before="120" w:after="80"/>
              <w:rPr>
                <w:sz w:val="22"/>
                <w:szCs w:val="22"/>
                <w:lang w:val="fr-FR"/>
              </w:rPr>
            </w:pPr>
          </w:p>
        </w:tc>
      </w:tr>
    </w:tbl>
    <w:p>
      <w:pPr>
        <w:spacing w:before="120" w:after="80"/>
        <w:rPr>
          <w:b/>
          <w:sz w:val="22"/>
          <w:szCs w:val="22"/>
          <w:lang w:val="fr-FR"/>
        </w:rPr>
      </w:pPr>
      <w:r>
        <w:rPr>
          <w:b/>
          <w:sz w:val="22"/>
          <w:szCs w:val="22"/>
          <w:lang w:val="fr-FR"/>
        </w:rPr>
        <w:t>Informations supplémentaires (par exemple concernant la méthodologie ou l’expérience faite en utilisant cette tâche en cours)</w:t>
      </w:r>
    </w:p>
    <w:p>
      <w:pPr>
        <w:spacing w:after="80"/>
        <w:rPr>
          <w:b/>
          <w:sz w:val="22"/>
          <w:szCs w:val="22"/>
          <w:lang w:val="fr-FR"/>
        </w:rPr>
      </w:pPr>
      <w:r>
        <w:rPr>
          <w:i/>
          <w:sz w:val="22"/>
          <w:szCs w:val="22"/>
          <w:lang w:val="fr-FR"/>
        </w:rPr>
        <w:t>[Ajoutez ici toute information supplémentaire pertinente, par exemple concernant la méthodologie ou le retour d’information donné par les apprenants après avoir piloté la tâche]</w:t>
      </w:r>
    </w:p>
    <w:p>
      <w:pPr>
        <w:spacing w:after="80"/>
        <w:rPr>
          <w:b/>
          <w:sz w:val="22"/>
          <w:szCs w:val="22"/>
          <w:lang w:val="fr-FR"/>
        </w:rPr>
      </w:pPr>
      <w:hyperlink r:id="rId7" w:history="1">
        <w:r>
          <w:rPr>
            <w:rStyle w:val="Hyperlink"/>
            <w:rFonts w:eastAsiaTheme="majorEastAsia"/>
            <w:b/>
            <w:sz w:val="22"/>
            <w:szCs w:val="22"/>
            <w:lang w:val="fr-FR"/>
          </w:rPr>
          <w:t>Descripteur</w:t>
        </w:r>
      </w:hyperlink>
      <w:r>
        <w:rPr>
          <w:rStyle w:val="Hyperlink"/>
          <w:rFonts w:eastAsiaTheme="majorEastAsia"/>
          <w:b/>
          <w:sz w:val="22"/>
          <w:szCs w:val="22"/>
          <w:lang w:val="fr-FR"/>
        </w:rPr>
        <w:t>(s)</w:t>
      </w:r>
      <w:r>
        <w:rPr>
          <w:b/>
          <w:sz w:val="22"/>
          <w:szCs w:val="22"/>
          <w:lang w:val="fr-FR"/>
        </w:rPr>
        <w:t> :</w:t>
      </w:r>
    </w:p>
    <w:p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Veuillez utiliser la base de données en ligne de descripteurs pour sélectionner les modes de communication, l’échelle et les descripteurs ciblés lors de l’utilisation de cette tâche : </w:t>
      </w:r>
      <w:hyperlink r:id="rId8" w:history="1">
        <w:r>
          <w:rPr>
            <w:rStyle w:val="Hyperlink"/>
            <w:sz w:val="22"/>
            <w:szCs w:val="22"/>
            <w:lang w:val="fr-FR"/>
          </w:rPr>
          <w:t>https://rm.coe.int/cefr-descriptors-2020-/16809ed2c7</w:t>
        </w:r>
      </w:hyperlink>
      <w:r>
        <w:rPr>
          <w:sz w:val="22"/>
          <w:szCs w:val="22"/>
          <w:lang w:val="fr-FR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80"/>
              <w:jc w:val="left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Mode de communication /</w:t>
            </w:r>
            <w:r>
              <w:rPr>
                <w:b/>
                <w:bCs w:val="0"/>
                <w:iCs w:val="0"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  <w:lang w:val="fr-FR"/>
              </w:rPr>
              <w:br/>
              <w:t xml:space="preserve">Activité, stratégie ou </w:t>
            </w:r>
            <w:r>
              <w:rPr>
                <w:b/>
                <w:sz w:val="22"/>
                <w:szCs w:val="22"/>
                <w:lang w:val="fr-FR"/>
              </w:rPr>
              <w:t>compétence</w:t>
            </w:r>
            <w:r>
              <w:rPr>
                <w:b/>
                <w:sz w:val="22"/>
                <w:szCs w:val="22"/>
                <w:lang w:val="fr-FR"/>
              </w:rPr>
              <w:t> :</w:t>
            </w:r>
          </w:p>
          <w:p>
            <w:pPr>
              <w:jc w:val="left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[Choisissez le mode de communication et l’activité / la stratégie / la compétence dans la base de données de descripteurs, par exemple « médiation / stratégies pour expliquer un nouveau concept »]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80"/>
              <w:jc w:val="left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Échelle :</w:t>
            </w:r>
          </w:p>
          <w:p>
            <w:pPr>
              <w:jc w:val="left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[Choisissez l’échelle, par exemple « Décomposer une information compliquée »]</w:t>
            </w:r>
          </w:p>
        </w:tc>
      </w:tr>
      <w:t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80"/>
              <w:jc w:val="left"/>
              <w:rPr>
                <w:b/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Descripteur(s) :</w:t>
            </w:r>
          </w:p>
          <w:p>
            <w:pPr>
              <w:jc w:val="left"/>
              <w:rPr>
                <w:i/>
                <w:sz w:val="22"/>
                <w:szCs w:val="22"/>
                <w:lang w:val="fr-FR"/>
              </w:rPr>
            </w:pPr>
            <w:r>
              <w:rPr>
                <w:i/>
                <w:sz w:val="22"/>
                <w:szCs w:val="22"/>
                <w:lang w:val="fr-FR"/>
              </w:rPr>
              <w:t>[</w:t>
            </w:r>
            <w:r>
              <w:rPr>
                <w:i/>
                <w:sz w:val="22"/>
                <w:szCs w:val="22"/>
                <w:lang w:val="fr-FR"/>
              </w:rPr>
              <w:t>C</w:t>
            </w:r>
            <w:r>
              <w:rPr>
                <w:i/>
                <w:sz w:val="22"/>
                <w:szCs w:val="22"/>
                <w:lang w:val="fr-FR"/>
              </w:rPr>
              <w:t>hoisissez le(s) descripteur(s) qui sont abordé(s) par cette tâche/activité, par exemple : « Peut faciliter la compréhension d’un processus complexe en le décomposant en une série de plus petites étapes. »]</w:t>
            </w:r>
          </w:p>
        </w:tc>
      </w:tr>
    </w:tbl>
    <w:p>
      <w:pPr>
        <w:spacing w:after="0"/>
        <w:rPr>
          <w:sz w:val="8"/>
          <w:szCs w:val="8"/>
          <w:lang w:val="fr-FR"/>
        </w:rPr>
      </w:pPr>
    </w:p>
    <w:sectPr>
      <w:headerReference w:type="default" r:id="rId9"/>
      <w:footerReference w:type="default" r:id="rId10"/>
      <w:pgSz w:w="11906" w:h="16838"/>
      <w:pgMar w:top="1560" w:right="1417" w:bottom="1134" w:left="1417" w:header="426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1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663"/>
      <w:gridCol w:w="2693"/>
    </w:tblGrid>
    <w:tr>
      <w:trPr>
        <w:trHeight w:val="574"/>
      </w:trPr>
      <w:tc>
        <w:tcPr>
          <w:tcW w:w="6663" w:type="dxa"/>
        </w:tcPr>
        <w:bookmarkStart w:id="0" w:name="_Hlk182398930"/>
        <w:bookmarkStart w:id="1" w:name="_Hlk182398992"/>
        <w:bookmarkStart w:id="2" w:name="_Hlk182398993"/>
        <w:p>
          <w:pPr>
            <w:pStyle w:val="Footer1"/>
            <w:ind w:left="172"/>
            <w:jc w:val="left"/>
            <w:rPr>
              <w:sz w:val="16"/>
              <w:szCs w:val="16"/>
              <w:lang w:val="fr-FR"/>
            </w:rPr>
          </w:pPr>
          <w:r>
            <w:rPr>
              <w:rFonts w:eastAsia="Times New Roman" w:cs="Times New Roman"/>
              <w:noProof/>
              <w:lang w:val="de-AT" w:eastAsia="de-A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margin">
                      <wp:posOffset>24765</wp:posOffset>
                    </wp:positionH>
                    <wp:positionV relativeFrom="paragraph">
                      <wp:posOffset>6350</wp:posOffset>
                    </wp:positionV>
                    <wp:extent cx="4147185" cy="5080"/>
                    <wp:effectExtent l="0" t="0" r="24765" b="33020"/>
                    <wp:wrapNone/>
                    <wp:docPr id="1" name="Straight Connector 18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4147185" cy="508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A5A5A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 xmlns:oel="http://schemas.microsoft.com/office/2019/extlst">
                <w:pict>
                  <v:line id="Straight Connector 18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95pt,.5pt" to="328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" strokecolor="#a5a5a5" strokeweight="1pt">
                    <v:stroke joinstyle="miter"/>
                    <w10:wrap anchorx="margin"/>
                  </v:line>
                </w:pict>
              </mc:Fallback>
            </mc:AlternateContent>
          </w:r>
          <w:r>
            <w:rPr>
              <w:rFonts w:eastAsia="Times New Roman"/>
              <w:color w:val="464646"/>
              <w:sz w:val="16"/>
              <w:szCs w:val="16"/>
              <w:shd w:val="clear" w:color="auto" w:fill="FFFFFF"/>
              <w:lang w:val="fr-FR"/>
            </w:rPr>
            <w:t xml:space="preserve">© 2023. </w:t>
          </w:r>
          <w:r>
            <w:rPr>
              <w:sz w:val="16"/>
              <w:szCs w:val="16"/>
              <w:lang w:val="fr-FR"/>
            </w:rPr>
            <w:t xml:space="preserve">Cette œuvre est soumise à la licence internationale </w:t>
          </w:r>
          <w:hyperlink r:id="rId1" w:history="1">
            <w:r>
              <w:rPr>
                <w:rStyle w:val="Hyperlink"/>
                <w:sz w:val="16"/>
                <w:szCs w:val="16"/>
                <w:lang w:val="fr-FR"/>
              </w:rPr>
              <w:t xml:space="preserve">Attribution – Pas d’Utilisation Commerciale – Partage dans les Mêmes Conditions 4.0 International Creative Commons </w:t>
            </w:r>
            <w:r>
              <w:rPr>
                <w:rStyle w:val="Hyperlink"/>
                <w:sz w:val="16"/>
                <w:szCs w:val="16"/>
                <w:lang w:val="fr-FR"/>
              </w:rPr>
              <w:br/>
              <w:t>CC BY-NC-SA 4.0).</w:t>
            </w:r>
          </w:hyperlink>
          <w:r>
            <w:rPr>
              <w:rStyle w:val="Hyperlink"/>
              <w:sz w:val="16"/>
              <w:szCs w:val="16"/>
              <w:lang w:val="fr-FR"/>
            </w:rPr>
            <w:t xml:space="preserve"> </w:t>
          </w:r>
          <w:r>
            <w:rPr>
              <w:sz w:val="16"/>
              <w:szCs w:val="16"/>
              <w:lang w:val="fr-FR"/>
            </w:rPr>
            <w:t>Attribution : Activité originale provenant de</w:t>
          </w:r>
        </w:p>
        <w:p>
          <w:pPr>
            <w:pStyle w:val="Footer1"/>
            <w:ind w:left="172"/>
            <w:jc w:val="left"/>
            <w:rPr>
              <w:rFonts w:eastAsia="Times New Roman"/>
              <w:i/>
              <w:iCs/>
              <w:color w:val="464646"/>
              <w:sz w:val="16"/>
              <w:szCs w:val="16"/>
              <w:shd w:val="clear" w:color="auto" w:fill="FFFFFF"/>
              <w:lang w:val="fr-FR"/>
            </w:rPr>
          </w:pPr>
          <w:r>
            <w:rPr>
              <w:rFonts w:cstheme="minorHAnsi"/>
              <w:sz w:val="16"/>
              <w:szCs w:val="16"/>
              <w:lang w:val="fr-FR"/>
            </w:rPr>
            <w:t>Fischer Johann (</w:t>
          </w:r>
          <w:r>
            <w:rPr>
              <w:rFonts w:cstheme="minorHAnsi"/>
              <w:i/>
              <w:iCs/>
              <w:sz w:val="16"/>
              <w:szCs w:val="16"/>
              <w:lang w:val="fr-FR"/>
            </w:rPr>
            <w:t>et al.</w:t>
          </w:r>
          <w:r>
            <w:rPr>
              <w:rFonts w:cstheme="minorHAnsi"/>
              <w:sz w:val="16"/>
              <w:szCs w:val="16"/>
              <w:lang w:val="fr-FR"/>
            </w:rPr>
            <w:t xml:space="preserve">), </w:t>
          </w:r>
          <w:r>
            <w:rPr>
              <w:rFonts w:cstheme="minorHAnsi"/>
              <w:i/>
              <w:iCs/>
              <w:sz w:val="16"/>
              <w:szCs w:val="16"/>
              <w:lang w:val="fr-FR"/>
            </w:rPr>
            <w:t>Boîte à outils pour la mise en œuvre du Volume complémentaire du CECR</w:t>
          </w:r>
          <w:r>
            <w:rPr>
              <w:rFonts w:cstheme="minorHAnsi"/>
              <w:sz w:val="16"/>
              <w:szCs w:val="16"/>
              <w:lang w:val="fr-FR"/>
            </w:rPr>
            <w:t xml:space="preserve">, Conseil de l'Europe (Centre européen pour les langues vivantes), 2023, </w:t>
          </w:r>
          <w:hyperlink r:id="rId2" w:history="1">
            <w:r>
              <w:rPr>
                <w:rStyle w:val="Hyperlink"/>
                <w:sz w:val="16"/>
                <w:szCs w:val="16"/>
                <w:lang w:val="fr-FR"/>
              </w:rPr>
              <w:t>www.ecml.at/companionvolumetoolbox</w:t>
            </w:r>
          </w:hyperlink>
          <w:r>
            <w:rPr>
              <w:rFonts w:eastAsia="Times New Roman" w:cs="Times New Roman"/>
              <w:sz w:val="16"/>
              <w:szCs w:val="16"/>
              <w:lang w:val="fr-FR"/>
            </w:rPr>
            <w:t>.</w:t>
          </w:r>
        </w:p>
      </w:tc>
      <w:tc>
        <w:tcPr>
          <w:tcW w:w="2693" w:type="dxa"/>
        </w:tcPr>
        <w:p>
          <w:pPr>
            <w:ind w:right="-109"/>
            <w:jc w:val="right"/>
            <w:rPr>
              <w:rFonts w:eastAsia="Times New Roman" w:cs="Times New Roman"/>
              <w:sz w:val="16"/>
              <w:szCs w:val="16"/>
            </w:rPr>
          </w:pPr>
          <w:r>
            <w:rPr>
              <w:rFonts w:eastAsia="Times New Roman" w:cs="Times New Roman"/>
              <w:noProof/>
              <w:sz w:val="16"/>
              <w:szCs w:val="16"/>
            </w:rPr>
            <w:drawing>
              <wp:inline distT="0" distB="0" distL="0" distR="0">
                <wp:extent cx="1572895" cy="535940"/>
                <wp:effectExtent l="0" t="0" r="8255" b="0"/>
                <wp:docPr id="5" name="Grafik 5" descr="Graphical user interface, text, applicati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" name="Picture 168" descr="Graphical user interface, text, application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535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0"/>
  <w:bookmarkEnd w:id="1"/>
  <w:bookmarkEnd w:id="2"/>
  <w:p>
    <w:pPr>
      <w:pStyle w:val="Footer1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3175</wp:posOffset>
              </wp:positionH>
              <wp:positionV relativeFrom="paragraph">
                <wp:posOffset>-738400</wp:posOffset>
              </wp:positionV>
              <wp:extent cx="4147711" cy="5610"/>
              <wp:effectExtent l="0" t="0" r="24765" b="33020"/>
              <wp:wrapNone/>
              <wp:docPr id="189" name="Straight Connector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147711" cy="561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71C3633" id="Straight Connector 18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25pt,-58.15pt" to="326.85pt,-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" strokecolor="#a5a5a5 [3206]" strokeweight="1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jc w:val="center"/>
    </w:pPr>
    <w:r>
      <w:rPr>
        <w:noProof/>
        <w:lang w:val="de-DE" w:eastAsia="de-DE"/>
      </w:rPr>
      <w:drawing>
        <wp:inline distT="0" distB="0" distL="0" distR="0">
          <wp:extent cx="1304714" cy="842890"/>
          <wp:effectExtent l="0" t="0" r="0" b="0"/>
          <wp:docPr id="1934473832" name="Picture 1934473832" descr="A blue and black toolbox with to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253790" name="Picture 1628253790" descr="A blue and black toolbox with too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618" cy="864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564C4"/>
    <w:multiLevelType w:val="multilevel"/>
    <w:tmpl w:val="E87A31A6"/>
    <w:lvl w:ilvl="0">
      <w:start w:val="1"/>
      <w:numFmt w:val="decimal"/>
      <w:pStyle w:val="berschrift1"/>
      <w:lvlText w:val="%1."/>
      <w:lvlJc w:val="left"/>
      <w:pPr>
        <w:ind w:left="720" w:hanging="360"/>
      </w:pPr>
    </w:lvl>
    <w:lvl w:ilvl="1">
      <w:start w:val="1"/>
      <w:numFmt w:val="lowerLetter"/>
      <w:pStyle w:val="berschrift2"/>
      <w:lvlText w:val="%2."/>
      <w:lvlJc w:val="left"/>
      <w:pPr>
        <w:ind w:left="1440" w:hanging="360"/>
      </w:pPr>
    </w:lvl>
    <w:lvl w:ilvl="2">
      <w:start w:val="1"/>
      <w:numFmt w:val="lowerRoman"/>
      <w:pStyle w:val="berschrift3"/>
      <w:lvlText w:val="%3."/>
      <w:lvlJc w:val="right"/>
      <w:pPr>
        <w:ind w:left="2160" w:hanging="180"/>
      </w:pPr>
    </w:lvl>
    <w:lvl w:ilvl="3">
      <w:start w:val="1"/>
      <w:numFmt w:val="decimal"/>
      <w:pStyle w:val="berschrift4"/>
      <w:lvlText w:val="%4."/>
      <w:lvlJc w:val="left"/>
      <w:pPr>
        <w:ind w:left="2880" w:hanging="360"/>
      </w:pPr>
    </w:lvl>
    <w:lvl w:ilvl="4">
      <w:start w:val="1"/>
      <w:numFmt w:val="lowerLetter"/>
      <w:pStyle w:val="berschrift5"/>
      <w:lvlText w:val="%5."/>
      <w:lvlJc w:val="left"/>
      <w:pPr>
        <w:ind w:left="3600" w:hanging="360"/>
      </w:pPr>
    </w:lvl>
    <w:lvl w:ilvl="5">
      <w:start w:val="1"/>
      <w:numFmt w:val="lowerRoman"/>
      <w:pStyle w:val="berschrift6"/>
      <w:lvlText w:val="%6."/>
      <w:lvlJc w:val="right"/>
      <w:pPr>
        <w:ind w:left="4320" w:hanging="180"/>
      </w:pPr>
    </w:lvl>
    <w:lvl w:ilvl="6">
      <w:start w:val="1"/>
      <w:numFmt w:val="decimal"/>
      <w:pStyle w:val="berschrift7"/>
      <w:lvlText w:val="%7."/>
      <w:lvlJc w:val="left"/>
      <w:pPr>
        <w:ind w:left="5040" w:hanging="360"/>
      </w:pPr>
    </w:lvl>
    <w:lvl w:ilvl="7">
      <w:start w:val="1"/>
      <w:numFmt w:val="lowerLetter"/>
      <w:pStyle w:val="berschrift8"/>
      <w:lvlText w:val="%8."/>
      <w:lvlJc w:val="left"/>
      <w:pPr>
        <w:ind w:left="5760" w:hanging="360"/>
      </w:pPr>
    </w:lvl>
    <w:lvl w:ilvl="8">
      <w:start w:val="1"/>
      <w:numFmt w:val="lowerRoman"/>
      <w:pStyle w:val="berschrift9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1F2B8E-1020-4797-89FA-B839D822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pBdr>
        <w:top w:val="nil"/>
        <w:left w:val="nil"/>
        <w:bottom w:val="nil"/>
        <w:right w:val="nil"/>
        <w:between w:val="nil"/>
      </w:pBdr>
      <w:spacing w:after="120" w:line="240" w:lineRule="auto"/>
      <w:jc w:val="both"/>
    </w:pPr>
    <w:rPr>
      <w:rFonts w:ascii="Myriad Pro" w:eastAsia="Open Sans" w:hAnsi="Myriad Pro" w:cs="Open Sans"/>
      <w:bCs/>
      <w:iCs/>
      <w:color w:val="000000"/>
      <w:sz w:val="20"/>
      <w:szCs w:val="20"/>
      <w:lang w:val="en-GB"/>
    </w:rPr>
  </w:style>
  <w:style w:type="paragraph" w:styleId="berschrift1">
    <w:name w:val="heading 1"/>
    <w:basedOn w:val="Standard"/>
    <w:next w:val="Standard"/>
    <w:link w:val="berschrift1Zchn"/>
    <w:qFormat/>
    <w:pPr>
      <w:numPr>
        <w:numId w:val="1"/>
      </w:numPr>
      <w:spacing w:before="240" w:after="240"/>
      <w:jc w:val="left"/>
      <w:outlineLvl w:val="0"/>
    </w:pPr>
    <w:rPr>
      <w:sz w:val="32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97"/>
      </w:tabs>
      <w:spacing w:before="240" w:after="240"/>
      <w:outlineLvl w:val="1"/>
    </w:pPr>
    <w:rPr>
      <w:b/>
      <w:bCs w:val="0"/>
      <w:iCs w:val="0"/>
      <w:caps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397"/>
        <w:tab w:val="left" w:pos="567"/>
      </w:tabs>
      <w:spacing w:before="240" w:after="240"/>
      <w:outlineLvl w:val="2"/>
    </w:pPr>
    <w:rPr>
      <w:rFonts w:eastAsia="Calibri" w:cs="Calibri"/>
      <w:b/>
      <w:bCs w:val="0"/>
      <w:iCs w:val="0"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/>
      <w:outlineLvl w:val="3"/>
    </w:pPr>
    <w:rPr>
      <w:b/>
      <w:bCs w:val="0"/>
      <w:iCs w:val="0"/>
      <w:color w:val="auto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20" w:after="40"/>
      <w:outlineLvl w:val="4"/>
    </w:pPr>
    <w:rPr>
      <w:rFonts w:ascii="Open Sans" w:hAnsi="Open Sans"/>
      <w:b/>
      <w:bCs w:val="0"/>
      <w:iCs w:val="0"/>
      <w:color w:val="auto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numPr>
        <w:ilvl w:val="5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40"/>
      <w:outlineLvl w:val="5"/>
    </w:pPr>
    <w:rPr>
      <w:rFonts w:ascii="Open Sans" w:hAnsi="Open Sans"/>
      <w:b/>
      <w:bCs w:val="0"/>
      <w:iCs w:val="0"/>
      <w:color w:val="auto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Myriad Pro" w:eastAsia="Open Sans" w:hAnsi="Myriad Pro" w:cs="Open Sans"/>
      <w:bCs/>
      <w:iCs/>
      <w:color w:val="000000"/>
      <w:sz w:val="32"/>
      <w:szCs w:val="4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Myriad Pro" w:eastAsia="Open Sans" w:hAnsi="Myriad Pro" w:cs="Open Sans"/>
      <w:b/>
      <w:caps/>
      <w:color w:val="000000"/>
      <w:sz w:val="24"/>
      <w:szCs w:val="24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Myriad Pro" w:eastAsia="Calibri" w:hAnsi="Myriad Pro" w:cs="Calibri"/>
      <w:b/>
      <w:color w:val="000000" w:themeColor="text1"/>
      <w:sz w:val="24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Myriad Pro" w:eastAsia="Open Sans" w:hAnsi="Myriad Pro" w:cs="Open Sans"/>
      <w:b/>
      <w:sz w:val="24"/>
      <w:szCs w:val="24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Open Sans" w:eastAsia="Open Sans" w:hAnsi="Open Sans" w:cs="Open Sans"/>
      <w:b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Open Sans" w:eastAsia="Open Sans" w:hAnsi="Open Sans" w:cs="Open Sans"/>
      <w:b/>
      <w:sz w:val="20"/>
      <w:szCs w:val="20"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bCs/>
      <w:i/>
      <w:color w:val="1F3763" w:themeColor="accent1" w:themeShade="7F"/>
      <w:sz w:val="20"/>
      <w:szCs w:val="20"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  <w:lang w:val="en-GB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703"/>
        <w:tab w:val="right" w:pos="94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Myriad Pro" w:eastAsia="Open Sans" w:hAnsi="Myriad Pro" w:cs="Open Sans"/>
      <w:bCs/>
      <w:iCs/>
      <w:color w:val="000000"/>
      <w:sz w:val="20"/>
      <w:szCs w:val="20"/>
      <w:lang w:val="en-GB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/>
    </w:pPr>
  </w:style>
  <w:style w:type="character" w:customStyle="1" w:styleId="FuzeileZchn">
    <w:name w:val="Fußzeile Zchn"/>
    <w:basedOn w:val="Absatz-Standardschriftart"/>
    <w:link w:val="Fuzeile"/>
    <w:rPr>
      <w:rFonts w:ascii="Myriad Pro" w:eastAsia="Open Sans" w:hAnsi="Myriad Pro" w:cs="Open Sans"/>
      <w:bCs/>
      <w:iCs/>
      <w:color w:val="000000"/>
      <w:sz w:val="20"/>
      <w:szCs w:val="20"/>
      <w:lang w:val="en-GB"/>
    </w:rPr>
  </w:style>
  <w:style w:type="paragraph" w:customStyle="1" w:styleId="Footer1">
    <w:name w:val="Footer1"/>
    <w:basedOn w:val="Fuzeile"/>
    <w:link w:val="footerChar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4703"/>
        <w:tab w:val="clear" w:pos="9406"/>
        <w:tab w:val="center" w:pos="4536"/>
        <w:tab w:val="right" w:pos="9072"/>
      </w:tabs>
      <w:ind w:left="-108"/>
    </w:pPr>
    <w:rPr>
      <w:rFonts w:asciiTheme="minorHAnsi" w:eastAsiaTheme="minorEastAsia" w:hAnsiTheme="minorHAnsi" w:cstheme="minorBidi"/>
      <w:bCs w:val="0"/>
      <w:iCs w:val="0"/>
      <w:color w:val="auto"/>
      <w:sz w:val="18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52" w:lineRule="auto"/>
      <w:jc w:val="left"/>
    </w:pPr>
    <w:rPr>
      <w:rFonts w:ascii="Century Gothic" w:eastAsiaTheme="majorEastAsia" w:hAnsi="Century Gothic" w:cstheme="majorBidi"/>
      <w:b/>
      <w:iCs w:val="0"/>
      <w:color w:val="auto"/>
      <w:spacing w:val="-7"/>
      <w:sz w:val="56"/>
      <w:szCs w:val="48"/>
    </w:rPr>
  </w:style>
  <w:style w:type="character" w:customStyle="1" w:styleId="TitleChar">
    <w:name w:val="Title Char"/>
    <w:basedOn w:val="Absatz-Standardschriftart"/>
    <w:uiPriority w:val="10"/>
    <w:rPr>
      <w:rFonts w:asciiTheme="majorHAnsi" w:eastAsiaTheme="majorEastAsia" w:hAnsiTheme="majorHAnsi" w:cstheme="majorBidi"/>
      <w:bCs/>
      <w:iCs/>
      <w:spacing w:val="-10"/>
      <w:kern w:val="28"/>
      <w:sz w:val="56"/>
      <w:szCs w:val="56"/>
      <w:lang w:val="en-GB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character" w:customStyle="1" w:styleId="footerChar">
    <w:name w:val="footer Char"/>
    <w:basedOn w:val="FuzeileZchn"/>
    <w:link w:val="Footer1"/>
    <w:rPr>
      <w:rFonts w:ascii="Myriad Pro" w:eastAsiaTheme="minorEastAsia" w:hAnsi="Myriad Pro" w:cs="Open Sans"/>
      <w:bCs w:val="0"/>
      <w:iCs w:val="0"/>
      <w:color w:val="000000"/>
      <w:sz w:val="18"/>
      <w:szCs w:val="20"/>
      <w:lang w:val="en-GB"/>
    </w:rPr>
  </w:style>
  <w:style w:type="table" w:customStyle="1" w:styleId="Tabellenraster1">
    <w:name w:val="Tabellenraster1"/>
    <w:basedOn w:val="NormaleTabelle"/>
    <w:next w:val="Tabellenraster"/>
    <w:uiPriority w:val="39"/>
    <w:pPr>
      <w:spacing w:after="0" w:line="240" w:lineRule="auto"/>
      <w:jc w:val="both"/>
    </w:pPr>
    <w:rPr>
      <w:rFonts w:eastAsia="Times New Roman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Myriad Pro" w:eastAsia="Open Sans" w:hAnsi="Myriad Pro" w:cs="Open Sans"/>
      <w:bCs/>
      <w:iCs/>
      <w:color w:val="000000"/>
      <w:sz w:val="20"/>
      <w:szCs w:val="20"/>
      <w:lang w:val="en-GB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Myriad Pro" w:eastAsia="Open Sans" w:hAnsi="Myriad Pro" w:cs="Open Sans"/>
      <w:bCs/>
      <w:iCs/>
      <w:color w:val="000000"/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Myriad Pro" w:eastAsia="Open Sans" w:hAnsi="Myriad Pro" w:cs="Open Sans"/>
      <w:b/>
      <w:bCs/>
      <w:iCs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cefr-descriptors-2020-/16809ed2c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.coe.int/cefr-descriptors-2020-/16809ed2c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cml.at/companionvolumetoolbox" TargetMode="External"/><Relationship Id="rId1" Type="http://schemas.openxmlformats.org/officeDocument/2006/relationships/hyperlink" Target="https://creativecommons.org/licenses/by-nc-sa/4.0/deed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Johann</dc:creator>
  <cp:keywords/>
  <dc:description/>
  <cp:lastModifiedBy>Johann Fischer</cp:lastModifiedBy>
  <cp:revision>2</cp:revision>
  <dcterms:created xsi:type="dcterms:W3CDTF">2025-01-17T16:15:00Z</dcterms:created>
  <dcterms:modified xsi:type="dcterms:W3CDTF">2025-01-17T16:15:00Z</dcterms:modified>
</cp:coreProperties>
</file>