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3"/>
        <w:numPr>
          <w:ilvl w:val="0"/>
          <w:numId w:val="0"/>
        </w:numPr>
        <w:rPr>
          <w:sz w:val="28"/>
          <w:szCs w:val="28"/>
          <w:lang w:eastAsia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26"/>
              </w:tabs>
              <w:spacing w:before="120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Recherche efficace d’informations sur l’actualité en ligne </w:t>
            </w:r>
          </w:p>
        </w:tc>
      </w:tr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Langue : 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  <w:t>Anglais (peut être adapté à toute autre langue moderne enseignée)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26"/>
              </w:tabs>
              <w:spacing w:before="120"/>
              <w:rPr>
                <w:b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Niveau du CECR : </w:t>
            </w:r>
            <w:r>
              <w:rPr>
                <w:sz w:val="22"/>
                <w:szCs w:val="22"/>
                <w:lang w:val="fr-FR"/>
              </w:rPr>
              <w:tab/>
              <w:t>B1/B2/C1</w:t>
            </w:r>
          </w:p>
        </w:tc>
      </w:tr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Auteurs : 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  <w:t>L’équipe VITbox</w:t>
            </w:r>
          </w:p>
        </w:tc>
      </w:tr>
    </w:tbl>
    <w:p>
      <w:pPr>
        <w:spacing w:before="120"/>
        <w:rPr>
          <w:sz w:val="22"/>
          <w:szCs w:val="22"/>
          <w:lang w:val="fr-FR"/>
        </w:rPr>
      </w:pPr>
    </w:p>
    <w:p>
      <w:pPr>
        <w:spacing w:before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Descripteur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>
        <w:tc>
          <w:tcPr>
            <w:tcW w:w="46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lang w:val="fr-FR"/>
              </w:rPr>
            </w:pPr>
            <w:r>
              <w:rPr>
                <w:lang w:val="fr-FR"/>
              </w:rPr>
              <w:t>Mode de communication / Activité, stratégie ou compétence :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b/>
                <w:bCs w:val="0"/>
                <w:i/>
                <w:iCs w:val="0"/>
                <w:lang w:val="fr-FR"/>
              </w:rPr>
            </w:pPr>
            <w:r>
              <w:rPr>
                <w:b/>
                <w:bCs w:val="0"/>
                <w:i/>
                <w:iCs w:val="0"/>
                <w:lang w:val="fr-FR"/>
              </w:rPr>
              <w:t>Compétence plurilingue et pluriculturelle</w:t>
            </w:r>
          </w:p>
        </w:tc>
        <w:tc>
          <w:tcPr>
            <w:tcW w:w="460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lang w:val="fr-FR"/>
              </w:rPr>
            </w:pPr>
            <w:r>
              <w:rPr>
                <w:lang w:val="fr-FR"/>
              </w:rPr>
              <w:t>Échelle :</w:t>
            </w:r>
          </w:p>
          <w:p>
            <w:pPr>
              <w:rPr>
                <w:b/>
                <w:bCs w:val="0"/>
                <w:i/>
                <w:iCs w:val="0"/>
                <w:lang w:val="fr-FR"/>
              </w:rPr>
            </w:pPr>
            <w:r>
              <w:rPr>
                <w:b/>
                <w:bCs w:val="0"/>
                <w:i/>
                <w:iCs w:val="0"/>
                <w:lang w:val="fr-FR"/>
              </w:rPr>
              <w:t>Exploiter un répertoire plurilingue</w:t>
            </w:r>
          </w:p>
        </w:tc>
      </w:tr>
      <w:tr>
        <w:tc>
          <w:tcPr>
            <w:tcW w:w="9212" w:type="dxa"/>
            <w:gridSpan w:val="2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lang w:val="fr-FR"/>
              </w:rPr>
            </w:pPr>
            <w:r>
              <w:rPr>
                <w:lang w:val="fr-FR"/>
              </w:rPr>
              <w:t>Descripteurs :</w:t>
            </w:r>
          </w:p>
          <w:p>
            <w:pPr>
              <w:rPr>
                <w:b/>
                <w:bCs w:val="0"/>
                <w:lang w:val="fr-FR"/>
              </w:rPr>
            </w:pPr>
            <w:r>
              <w:rPr>
                <w:b/>
                <w:bCs w:val="0"/>
                <w:lang w:val="fr-FR"/>
              </w:rPr>
              <w:t xml:space="preserve">B1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>Peut utiliser de façon créative la palette limitée qu’il a dans différentes langues de son répertoire plurilingue pour des contextes quotidiens, afin de se débrouiller dans des situations inattendues.</w:t>
            </w:r>
          </w:p>
          <w:p>
            <w:pPr>
              <w:rPr>
                <w:b/>
                <w:bCs w:val="0"/>
                <w:lang w:val="fr-FR"/>
              </w:rPr>
            </w:pPr>
            <w:r>
              <w:rPr>
                <w:b/>
                <w:bCs w:val="0"/>
                <w:lang w:val="fr-FR"/>
              </w:rPr>
              <w:t>B2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yriad Pro" w:eastAsia="Open Sans" w:hAnsi="Myriad Pro" w:cs="Open Sans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Myriad Pro" w:eastAsia="Open Sans" w:hAnsi="Myriad Pro" w:cs="Open Sans"/>
                <w:bCs/>
                <w:iCs/>
                <w:sz w:val="20"/>
                <w:szCs w:val="20"/>
                <w:lang w:val="fr-FR"/>
              </w:rPr>
              <w:t>Peut percevoir dans quelle mesure il est approprié d’utiliser avec souplesse les différentes langues de son répertoire plurilingue dans une situation spécifique, afin d’accroître l’efficacité de la communication.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yriad Pro" w:eastAsia="Open Sans" w:hAnsi="Myriad Pro" w:cs="Open Sans"/>
                <w:b/>
                <w:iCs/>
                <w:sz w:val="20"/>
                <w:szCs w:val="20"/>
                <w:lang w:val="fr-FR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yriad Pro" w:eastAsia="Open Sans" w:hAnsi="Myriad Pro" w:cs="Open Sans"/>
                <w:b/>
                <w:iCs/>
                <w:sz w:val="20"/>
                <w:szCs w:val="20"/>
                <w:lang w:val="fr-FR"/>
              </w:rPr>
            </w:pPr>
            <w:r>
              <w:rPr>
                <w:rFonts w:ascii="Myriad Pro" w:eastAsia="Open Sans" w:hAnsi="Myriad Pro" w:cs="Open Sans"/>
                <w:b/>
                <w:iCs/>
                <w:sz w:val="20"/>
                <w:szCs w:val="20"/>
                <w:lang w:val="fr-FR"/>
              </w:rPr>
              <w:t>C1</w:t>
            </w:r>
          </w:p>
          <w:p>
            <w:pPr>
              <w:pStyle w:val="Default"/>
              <w:rPr>
                <w:rFonts w:ascii="Myriad Pro" w:eastAsia="Open Sans" w:hAnsi="Myriad Pro" w:cs="Open Sans"/>
                <w:bCs/>
                <w:iCs/>
                <w:sz w:val="20"/>
                <w:szCs w:val="20"/>
                <w:lang w:val="fr-FR"/>
              </w:rPr>
            </w:pPr>
            <w:r>
              <w:rPr>
                <w:rFonts w:ascii="Myriad Pro" w:eastAsia="Open Sans" w:hAnsi="Myriad Pro" w:cs="Open Sans"/>
                <w:bCs/>
                <w:iCs/>
                <w:sz w:val="20"/>
                <w:szCs w:val="20"/>
                <w:lang w:val="fr-FR"/>
              </w:rPr>
              <w:t>Peut passer d’une langue à l’autre avec aisance pour faciliter la communication dans un contexte multilingue, résumer et commenter en différentes langues de son répertoire plurilingue les contributions à la discussion et aux textes concernés.</w:t>
            </w:r>
          </w:p>
        </w:tc>
      </w:tr>
    </w:tbl>
    <w:p>
      <w:pPr>
        <w:spacing w:before="120"/>
        <w:rPr>
          <w:sz w:val="22"/>
          <w:szCs w:val="22"/>
          <w:lang w:val="fr-FR"/>
        </w:rPr>
      </w:pPr>
    </w:p>
    <w:p>
      <w:pPr>
        <w:spacing w:before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Introduction à la tâche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  <w:t>Objectifs de l’activité :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  <w:t xml:space="preserve"> 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Cs w:val="0"/>
                <w:iCs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Cs w:val="0"/>
                <w:iCs w:val="0"/>
                <w:color w:val="auto"/>
                <w:sz w:val="24"/>
                <w:szCs w:val="24"/>
                <w:lang w:val="fr-FR"/>
              </w:rPr>
              <w:t xml:space="preserve">Trouver des informations en ligne et utiliser la connaissance de plusieurs langues pour obtenir de meilleures informations. Encourager le plurilinguisme en montrant son utilité. 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  <w:t>Introduire l’activité dans la classe :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</w:p>
          <w:p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demandez aux participants de parler de la manière dont ils suivent l’actualité. Quel média utilisent-ils ?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demander aux participants de réfléchir aux langues qu’ils utilisent pour rechercher des informations en ligne sur l’actualité.</w:t>
            </w:r>
          </w:p>
          <w:p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demander aux participants de réfléchir au contexte. Est-il possible que l’information ait un angle différent selon la langue utilisée pour la recherche ?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  <w:lastRenderedPageBreak/>
              <w:t>Description de l’activité principale :</w:t>
            </w:r>
          </w:p>
          <w:p>
            <w:pPr>
              <w:tabs>
                <w:tab w:val="left" w:pos="950"/>
              </w:tabs>
              <w:rPr>
                <w:rFonts w:asciiTheme="minorHAnsi" w:eastAsiaTheme="minorHAnsi" w:hAnsiTheme="minorHAnsi" w:cstheme="minorBidi"/>
                <w:sz w:val="24"/>
                <w:szCs w:val="24"/>
                <w:lang w:val="fr-FR"/>
              </w:rPr>
            </w:pP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Cs w:val="0"/>
                <w:iCs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Cs w:val="0"/>
                <w:iCs w:val="0"/>
                <w:color w:val="auto"/>
                <w:sz w:val="24"/>
                <w:szCs w:val="24"/>
                <w:lang w:val="fr-FR"/>
              </w:rPr>
              <w:t xml:space="preserve">Cette activité peut être réalisée dans le cadre de cours d’apprentissage mixte, en tant qu’activité en ligne, ou dans le cadre de cours traditionnels, en tant qu’activité en classe.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  <w:t>Demandez aux apprenants de choisir un sujet d’actualité. Comme le sujet doit être d’actualité, le thème choisi dépendra de la date à laquelle l’activité est réalisée. Faire choisir un sujet suffisamment international pour avoir été traité dans l’actualité en plusieurs langues. Si le niveau visé est B1, veillez à ce que le sujet choisi soit un sujet de la vie quotidienne, de nature factuelle.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  <w:t xml:space="preserve">Répartissez les apprenants en petits groupes afin de laisser à chacun le temps de s’exprimer. Veillez à ce qu’il y ait dans chaque groupe des personnes ayant une certaine connaissance de langues autres que l’anglais et la langue principale utilisée dans le contexte de la classe.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</w:p>
          <w:p>
            <w:pPr>
              <w:pStyle w:val="Listenabsatz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Demandez à chaque groupe de rechercher le sujet en ligne et de choisir des informations en anglais sur ce sujet. Demandez-leur de résumer les informations en anglais.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Demandez-leur de réfléchir aux autres langues qu’ils connaissent. Peuvent-ils trouver des informations sur ce sujet dans ces autres langues ?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Demandez aux apprenants de rechercher des informations sur le sujet dans une autre langue (ou dans d’autres langues, en fonction du nombre de langues que le groupe connaît) et demandez-leur de résumer ces informations ensemble en anglais. Demandez-leur de travailler ensemble et d’interagir, les apprenants les plus compétents aidant ceux qui le sont moins.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Demandez aux apprenants de réfléchir aux différences entre les informations. Y en a-t-il ? Les informations diffèrent-elles en termes de point de vue ou d’angle lorsqu’elles proviennent de langues différentes ?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val="fr-FR"/>
              </w:rPr>
              <w:t>Retour d’information par les pairs – discussion en classe</w:t>
            </w:r>
          </w:p>
          <w:p>
            <w:pPr>
              <w:spacing w:after="0"/>
              <w:jc w:val="left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FR"/>
              </w:rPr>
              <w:t>Demandez à chaque groupe de partager leurs deux résumés, leur résumé en anglais à partir des informations trouvées en anglais et leur résumé en anglais à partir des informations trouvées dans une autre/autres langue(s).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Quelles sont les langues utilisées par chaque groupe 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A-t-il été plus facile de trouver des informations dans certaines langues 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Les informations trouvées dans les différentes langues ont-elles un angle différent ? Pourriez-vous partager les conclusions de votre groupe 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Pensez-vous que la recherche d’informations dans plusieurs langues vous a permis de mieux comprendre ce qui se passe 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Pensez-vous que la possibilité de rechercher des informations dans plusieurs langues pourrait vous aider à vérifier les faits ?</w:t>
            </w:r>
          </w:p>
          <w:p>
            <w:pPr>
              <w:rPr>
                <w:sz w:val="22"/>
                <w:szCs w:val="22"/>
                <w:lang w:val="fr-FR"/>
              </w:rPr>
            </w:pPr>
          </w:p>
          <w:p>
            <w:pPr>
              <w:rPr>
                <w:sz w:val="22"/>
                <w:szCs w:val="22"/>
                <w:lang w:val="fr-FR"/>
              </w:rPr>
            </w:pPr>
          </w:p>
          <w:p>
            <w:pPr>
              <w:rPr>
                <w:sz w:val="22"/>
                <w:szCs w:val="22"/>
                <w:lang w:val="fr-FR"/>
              </w:rPr>
            </w:pPr>
          </w:p>
          <w:p>
            <w:pPr>
              <w:rPr>
                <w:sz w:val="22"/>
                <w:szCs w:val="22"/>
                <w:lang w:val="fr-FR"/>
              </w:rPr>
            </w:pPr>
          </w:p>
          <w:p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lastRenderedPageBreak/>
              <w:t xml:space="preserve">L’évaluation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  <w:lang w:val="fr-FR"/>
              </w:rPr>
              <w:t>(de la part de l’enseignant ou des pairs)</w:t>
            </w:r>
          </w:p>
          <w:p>
            <w:pPr>
              <w:rPr>
                <w:rFonts w:asciiTheme="minorHAnsi" w:hAnsiTheme="minorHAnsi" w:cstheme="minorHAnsi"/>
                <w:bCs w:val="0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val="fr-FR"/>
              </w:rPr>
              <w:t xml:space="preserve">Remplissez ou faites remplir par leurs camarades le tableau suivant. La réussite de la tâche est déterminée par le nombre de questions auxquelles il a été répondu par l’affirmative.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821"/>
              <w:gridCol w:w="2015"/>
            </w:tblGrid>
            <w:tr>
              <w:tc>
                <w:tcPr>
                  <w:tcW w:w="6821" w:type="dxa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  <w:t>Oui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jc w:val="center"/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  <w:t>Non</w:t>
                        </w: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  <w:tr>
              <w:tc>
                <w:tcPr>
                  <w:tcW w:w="6821" w:type="dxa"/>
                </w:tcPr>
                <w:p>
                  <w:pP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  <w:t>Les apprenants ont-ils recherché un sujet en anglais et en ont-ils résumé les principaux concepts ?</w:t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  <w:tr>
              <w:tc>
                <w:tcPr>
                  <w:tcW w:w="6821" w:type="dxa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  <w:t>Les apprenants ont-ils recherché les mêmes informations dans une langue différente ou dans des langues différentes ?</w:t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  <w:tr>
              <w:tc>
                <w:tcPr>
                  <w:tcW w:w="6821" w:type="dxa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  <w:t>Les apprenants ont-ils été capables de résumer en anglais les informations trouvées dans une autre langue en s’aidant les uns les autres ?</w:t>
                  </w: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  <w:tr>
              <w:tc>
                <w:tcPr>
                  <w:tcW w:w="6821" w:type="dxa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  <w:t>Les apprenants ont-ils comparé les points de vue des informations trouvées ? Ont-ils analysé les similitudes et les différences ?</w:t>
                  </w: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  <w:tr>
              <w:tc>
                <w:tcPr>
                  <w:tcW w:w="6821" w:type="dxa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  <w:t>Les groupes ont-ils discuté de la manière dont les informations peuvent être vérifiées en consultant différentes sources dans différentes langues ?</w:t>
                  </w:r>
                </w:p>
              </w:tc>
              <w:tc>
                <w:tcPr>
                  <w:tcW w:w="2015" w:type="dxa"/>
                </w:tcPr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94"/>
                    <w:gridCol w:w="895"/>
                  </w:tblGrid>
                  <w:tr>
                    <w:tc>
                      <w:tcPr>
                        <w:tcW w:w="894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</w:pBdr>
                          <w:rPr>
                            <w:rFonts w:asciiTheme="minorHAnsi" w:hAnsiTheme="minorHAnsi" w:cstheme="minorHAnsi"/>
                            <w:bCs w:val="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>
            <w:pPr>
              <w:rPr>
                <w:sz w:val="22"/>
                <w:szCs w:val="22"/>
                <w:lang w:val="fr-FR"/>
              </w:rPr>
            </w:pPr>
          </w:p>
        </w:tc>
      </w:tr>
    </w:tbl>
    <w:p>
      <w:pPr>
        <w:spacing w:before="120"/>
        <w:rPr>
          <w:sz w:val="22"/>
          <w:szCs w:val="22"/>
          <w:lang w:val="es-ES"/>
        </w:rPr>
      </w:pPr>
    </w:p>
    <w:p>
      <w:pPr>
        <w:rPr>
          <w:lang w:val="es-ES"/>
        </w:rPr>
      </w:pPr>
    </w:p>
    <w:sectPr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rPr>
        <w:noProof/>
        <w:sz w:val="16"/>
        <w:szCs w:val="16"/>
      </w:rPr>
      <w:drawing>
        <wp:inline distT="0" distB="0" distL="0" distR="0">
          <wp:extent cx="1572895" cy="535940"/>
          <wp:effectExtent l="0" t="0" r="8255" b="0"/>
          <wp:docPr id="1248537313" name="Picture 124853731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2693"/>
    </w:tblGrid>
    <w:tr>
      <w:trPr>
        <w:trHeight w:val="574"/>
      </w:trPr>
      <w:tc>
        <w:tcPr>
          <w:tcW w:w="6663" w:type="dxa"/>
        </w:tcPr>
        <w:bookmarkStart w:id="0" w:name="_Hlk182398930"/>
        <w:bookmarkStart w:id="1" w:name="_Hlk182398992"/>
        <w:bookmarkStart w:id="2" w:name="_Hlk182398993"/>
        <w:p>
          <w:pPr>
            <w:pStyle w:val="Footer1"/>
            <w:ind w:left="172"/>
            <w:jc w:val="left"/>
            <w:rPr>
              <w:sz w:val="16"/>
              <w:szCs w:val="16"/>
              <w:lang w:val="fr-FR"/>
            </w:rPr>
          </w:pPr>
          <w:r>
            <w:rPr>
              <w:rFonts w:eastAsia="Times New Roman" w:cs="Times New Roman"/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24765</wp:posOffset>
                    </wp:positionH>
                    <wp:positionV relativeFrom="paragraph">
                      <wp:posOffset>6350</wp:posOffset>
                    </wp:positionV>
                    <wp:extent cx="4147185" cy="5080"/>
                    <wp:effectExtent l="0" t="0" r="24765" b="33020"/>
                    <wp:wrapNone/>
                    <wp:docPr id="189" name="Straight Connector 1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147185" cy="508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id="Straight Connector 1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.5pt" to="328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" strokecolor="#a5a5a5" strokeweight="1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rFonts w:eastAsia="Times New Roman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>
            <w:rPr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>
              <w:rPr>
                <w:rStyle w:val="Hyperlink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>
              <w:rPr>
                <w:rStyle w:val="Hyperlink"/>
                <w:sz w:val="16"/>
                <w:szCs w:val="16"/>
                <w:lang w:val="fr-FR"/>
              </w:rPr>
              <w:br/>
              <w:t>CC BY-NC-SA 4.0).</w:t>
            </w:r>
          </w:hyperlink>
          <w:r>
            <w:rPr>
              <w:rStyle w:val="Hyperlink"/>
              <w:sz w:val="16"/>
              <w:szCs w:val="16"/>
              <w:lang w:val="fr-FR"/>
            </w:rPr>
            <w:t xml:space="preserve"> </w:t>
          </w:r>
          <w:r>
            <w:rPr>
              <w:sz w:val="16"/>
              <w:szCs w:val="16"/>
              <w:lang w:val="fr-FR"/>
            </w:rPr>
            <w:t>Attribution : Activité originale provenant de</w:t>
          </w:r>
        </w:p>
        <w:p>
          <w:pPr>
            <w:pStyle w:val="Footer1"/>
            <w:ind w:left="172"/>
            <w:jc w:val="left"/>
            <w:rPr>
              <w:rFonts w:eastAsia="Times New Roman"/>
              <w:i/>
              <w:iCs/>
              <w:color w:val="464646"/>
              <w:sz w:val="16"/>
              <w:szCs w:val="16"/>
              <w:shd w:val="clear" w:color="auto" w:fill="FFFFFF"/>
              <w:lang w:val="fr-FR"/>
            </w:rPr>
          </w:pPr>
          <w:r>
            <w:rPr>
              <w:rFonts w:cstheme="minorHAnsi"/>
              <w:sz w:val="16"/>
              <w:szCs w:val="16"/>
              <w:lang w:val="fr-FR"/>
            </w:rPr>
            <w:t>Fischer Johann (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et al.</w:t>
          </w:r>
          <w:r>
            <w:rPr>
              <w:rFonts w:cstheme="minorHAnsi"/>
              <w:sz w:val="16"/>
              <w:szCs w:val="16"/>
              <w:lang w:val="fr-FR"/>
            </w:rPr>
            <w:t xml:space="preserve">), 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Boîte à outils pour la mise en œuvre du Volume complémentaire du CECR</w:t>
          </w:r>
          <w:r>
            <w:rPr>
              <w:rFonts w:cstheme="minorHAnsi"/>
              <w:sz w:val="16"/>
              <w:szCs w:val="16"/>
              <w:lang w:val="fr-FR"/>
            </w:rPr>
            <w:t xml:space="preserve">, Conseil de l'Europe (Centre européen pour les langues vivantes), 2023, </w:t>
          </w:r>
          <w:hyperlink r:id="rId2" w:history="1">
            <w:r>
              <w:rPr>
                <w:rStyle w:val="Hyperlink"/>
                <w:sz w:val="16"/>
                <w:szCs w:val="16"/>
                <w:lang w:val="fr-FR"/>
              </w:rPr>
              <w:t>www.ecml.at/companionvolumetoolbox</w:t>
            </w:r>
          </w:hyperlink>
          <w:r>
            <w:rPr>
              <w:rFonts w:eastAsia="Times New Roman" w:cs="Times New Roman"/>
              <w:sz w:val="16"/>
              <w:szCs w:val="16"/>
              <w:lang w:val="fr-FR"/>
            </w:rPr>
            <w:t>.</w:t>
          </w:r>
        </w:p>
      </w:tc>
      <w:tc>
        <w:tcPr>
          <w:tcW w:w="2693" w:type="dxa"/>
        </w:tcPr>
        <w:p>
          <w:pPr>
            <w:ind w:right="-109"/>
            <w:jc w:val="right"/>
            <w:rPr>
              <w:rFonts w:eastAsia="Times New Roman" w:cs="Times New Roman"/>
              <w:sz w:val="16"/>
              <w:szCs w:val="16"/>
            </w:rPr>
          </w:pPr>
          <w:r>
            <w:rPr>
              <w:rFonts w:eastAsia="Times New Roman" w:cs="Times New Roman"/>
              <w:noProof/>
              <w:sz w:val="16"/>
              <w:szCs w:val="16"/>
            </w:rPr>
            <w:drawing>
              <wp:inline distT="0" distB="0" distL="0" distR="0">
                <wp:extent cx="1572895" cy="535940"/>
                <wp:effectExtent l="0" t="0" r="8255" b="0"/>
                <wp:docPr id="27" name="Grafik 27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</w:tbl>
  <w:p>
    <w:pPr>
      <w:tabs>
        <w:tab w:val="center" w:pos="4536"/>
        <w:tab w:val="right" w:pos="9072"/>
      </w:tabs>
      <w:ind w:left="-108"/>
      <w:rPr>
        <w:rFonts w:eastAsia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304714" cy="842890"/>
          <wp:effectExtent l="0" t="0" r="0" b="0"/>
          <wp:docPr id="178296844" name="Picture 178296844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C89"/>
    <w:multiLevelType w:val="hybridMultilevel"/>
    <w:tmpl w:val="A10CBB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69CC"/>
    <w:multiLevelType w:val="multilevel"/>
    <w:tmpl w:val="2A4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6672A"/>
    <w:multiLevelType w:val="multilevel"/>
    <w:tmpl w:val="115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A4C0C"/>
    <w:multiLevelType w:val="hybridMultilevel"/>
    <w:tmpl w:val="5F76A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7C2"/>
    <w:multiLevelType w:val="multilevel"/>
    <w:tmpl w:val="482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A0C68"/>
    <w:multiLevelType w:val="hybridMultilevel"/>
    <w:tmpl w:val="47B43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483E"/>
    <w:multiLevelType w:val="hybridMultilevel"/>
    <w:tmpl w:val="5AA86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2D61"/>
    <w:multiLevelType w:val="multilevel"/>
    <w:tmpl w:val="5ED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A7F92"/>
    <w:multiLevelType w:val="hybridMultilevel"/>
    <w:tmpl w:val="C90C6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65C95"/>
    <w:multiLevelType w:val="multilevel"/>
    <w:tmpl w:val="2C4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35430"/>
    <w:multiLevelType w:val="multilevel"/>
    <w:tmpl w:val="201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24443"/>
    <w:multiLevelType w:val="multilevel"/>
    <w:tmpl w:val="EAB2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3486E"/>
    <w:multiLevelType w:val="multilevel"/>
    <w:tmpl w:val="BC4C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564C4"/>
    <w:multiLevelType w:val="multilevel"/>
    <w:tmpl w:val="E87A31A6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lowerLetter"/>
      <w:pStyle w:val="berschrift2"/>
      <w:lvlText w:val="%2."/>
      <w:lvlJc w:val="left"/>
      <w:pPr>
        <w:ind w:left="1440" w:hanging="360"/>
      </w:pPr>
    </w:lvl>
    <w:lvl w:ilvl="2">
      <w:start w:val="1"/>
      <w:numFmt w:val="lowerRoman"/>
      <w:pStyle w:val="berschrift3"/>
      <w:lvlText w:val="%3."/>
      <w:lvlJc w:val="right"/>
      <w:pPr>
        <w:ind w:left="2160" w:hanging="180"/>
      </w:pPr>
    </w:lvl>
    <w:lvl w:ilvl="3">
      <w:start w:val="1"/>
      <w:numFmt w:val="decimal"/>
      <w:pStyle w:val="berschrift4"/>
      <w:lvlText w:val="%4."/>
      <w:lvlJc w:val="left"/>
      <w:pPr>
        <w:ind w:left="2880" w:hanging="360"/>
      </w:pPr>
    </w:lvl>
    <w:lvl w:ilvl="4">
      <w:start w:val="1"/>
      <w:numFmt w:val="lowerLetter"/>
      <w:pStyle w:val="berschrift5"/>
      <w:lvlText w:val="%5."/>
      <w:lvlJc w:val="left"/>
      <w:pPr>
        <w:ind w:left="3600" w:hanging="360"/>
      </w:pPr>
    </w:lvl>
    <w:lvl w:ilvl="5">
      <w:start w:val="1"/>
      <w:numFmt w:val="lowerRoman"/>
      <w:pStyle w:val="berschrift6"/>
      <w:lvlText w:val="%6."/>
      <w:lvlJc w:val="right"/>
      <w:pPr>
        <w:ind w:left="4320" w:hanging="180"/>
      </w:pPr>
    </w:lvl>
    <w:lvl w:ilvl="6">
      <w:start w:val="1"/>
      <w:numFmt w:val="decimal"/>
      <w:pStyle w:val="berschrift7"/>
      <w:lvlText w:val="%7."/>
      <w:lvlJc w:val="left"/>
      <w:pPr>
        <w:ind w:left="5040" w:hanging="360"/>
      </w:pPr>
    </w:lvl>
    <w:lvl w:ilvl="7">
      <w:start w:val="1"/>
      <w:numFmt w:val="lowerLetter"/>
      <w:pStyle w:val="berschrift8"/>
      <w:lvlText w:val="%8."/>
      <w:lvlJc w:val="left"/>
      <w:pPr>
        <w:ind w:left="5760" w:hanging="360"/>
      </w:pPr>
    </w:lvl>
    <w:lvl w:ilvl="8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4" w15:restartNumberingAfterBreak="0">
    <w:nsid w:val="714123B5"/>
    <w:multiLevelType w:val="multilevel"/>
    <w:tmpl w:val="3E6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F2B8E-1020-4797-89FA-B839D82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  <w:between w:val="nil"/>
      </w:pBdr>
      <w:spacing w:after="120" w:line="240" w:lineRule="auto"/>
      <w:jc w:val="both"/>
    </w:pPr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numPr>
        <w:numId w:val="1"/>
      </w:numPr>
      <w:spacing w:before="240" w:after="240"/>
      <w:jc w:val="left"/>
      <w:outlineLvl w:val="0"/>
    </w:pPr>
    <w:rPr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7"/>
      </w:tabs>
      <w:spacing w:before="240" w:after="240"/>
      <w:outlineLvl w:val="1"/>
    </w:pPr>
    <w:rPr>
      <w:b/>
      <w:bCs w:val="0"/>
      <w:iCs w:val="0"/>
      <w:cap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7"/>
        <w:tab w:val="left" w:pos="567"/>
      </w:tabs>
      <w:spacing w:before="240" w:after="240"/>
      <w:outlineLvl w:val="2"/>
    </w:pPr>
    <w:rPr>
      <w:rFonts w:eastAsia="Calibri" w:cs="Calibri"/>
      <w:b/>
      <w:bCs w:val="0"/>
      <w:iCs w:val="0"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/>
      <w:outlineLvl w:val="3"/>
    </w:pPr>
    <w:rPr>
      <w:b/>
      <w:bCs w:val="0"/>
      <w:iCs w:val="0"/>
      <w:color w:val="auto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20" w:after="40"/>
      <w:outlineLvl w:val="4"/>
    </w:pPr>
    <w:rPr>
      <w:rFonts w:ascii="Open Sans" w:hAnsi="Open Sans"/>
      <w:b/>
      <w:bCs w:val="0"/>
      <w:iCs w:val="0"/>
      <w:color w:val="auto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40"/>
      <w:outlineLvl w:val="5"/>
    </w:pPr>
    <w:rPr>
      <w:rFonts w:ascii="Open Sans" w:hAnsi="Open Sans"/>
      <w:b/>
      <w:bCs w:val="0"/>
      <w:iCs w:val="0"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Myriad Pro" w:eastAsia="Open Sans" w:hAnsi="Myriad Pro" w:cs="Open Sans"/>
      <w:bCs/>
      <w:iCs/>
      <w:color w:val="000000"/>
      <w:sz w:val="32"/>
      <w:szCs w:val="4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Myriad Pro" w:eastAsia="Open Sans" w:hAnsi="Myriad Pro" w:cs="Open Sans"/>
      <w:b/>
      <w:caps/>
      <w:color w:val="000000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Myriad Pro" w:eastAsia="Calibri" w:hAnsi="Myriad Pro" w:cs="Calibri"/>
      <w:b/>
      <w:color w:val="000000" w:themeColor="text1"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Myriad Pro" w:eastAsia="Open Sans" w:hAnsi="Myriad Pro" w:cs="Open Sans"/>
      <w:b/>
      <w:sz w:val="24"/>
      <w:szCs w:val="24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Open Sans" w:eastAsia="Open Sans" w:hAnsi="Open Sans" w:cs="Open Sans"/>
      <w:b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Open Sans" w:eastAsia="Open Sans" w:hAnsi="Open Sans" w:cs="Open Sans"/>
      <w:b/>
      <w:sz w:val="20"/>
      <w:szCs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bCs/>
      <w:i/>
      <w:color w:val="1F3763" w:themeColor="accent1" w:themeShade="7F"/>
      <w:sz w:val="20"/>
      <w:szCs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  <w:lang w:val="en-GB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_tradnl"/>
    </w:rPr>
  </w:style>
  <w:style w:type="paragraph" w:styleId="Listenabsatz">
    <w:name w:val="List Paragraph"/>
    <w:basedOn w:val="Standard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ind w:left="720"/>
      <w:contextualSpacing/>
      <w:jc w:val="left"/>
    </w:pPr>
    <w:rPr>
      <w:rFonts w:asciiTheme="minorHAnsi" w:eastAsiaTheme="minorHAnsi" w:hAnsiTheme="minorHAnsi" w:cstheme="minorBidi"/>
      <w:bCs w:val="0"/>
      <w:iCs w:val="0"/>
      <w:color w:val="auto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iCs w:val="0"/>
      <w:color w:val="auto"/>
      <w:sz w:val="24"/>
      <w:szCs w:val="24"/>
      <w:lang w:val="es-ES" w:eastAsia="es-ES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ng-tns-c17-10">
    <w:name w:val="ng-tns-c17-10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iCs w:val="0"/>
      <w:color w:val="auto"/>
      <w:sz w:val="24"/>
      <w:szCs w:val="24"/>
      <w:lang w:val="es-ES" w:eastAsia="es-ES"/>
    </w:rPr>
  </w:style>
  <w:style w:type="character" w:customStyle="1" w:styleId="ng-tns-c17-101">
    <w:name w:val="ng-tns-c17-101"/>
    <w:basedOn w:val="Absatz-Standardschriftart"/>
  </w:style>
  <w:style w:type="character" w:customStyle="1" w:styleId="Ttulo1">
    <w:name w:val="Título1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customStyle="1" w:styleId="Footer1">
    <w:name w:val="Footer1"/>
    <w:basedOn w:val="Fuzeile"/>
    <w:link w:val="footer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-108"/>
    </w:pPr>
    <w:rPr>
      <w:rFonts w:asciiTheme="minorHAnsi" w:eastAsiaTheme="minorEastAsia" w:hAnsiTheme="minorHAnsi" w:cstheme="minorBidi"/>
      <w:bCs w:val="0"/>
      <w:iCs w:val="0"/>
      <w:color w:val="auto"/>
      <w:sz w:val="18"/>
      <w:szCs w:val="22"/>
    </w:rPr>
  </w:style>
  <w:style w:type="paragraph" w:styleId="KeinLeerraum">
    <w:name w:val="No Spacing"/>
    <w:aliases w:val="plus"/>
    <w:uiPriority w:val="1"/>
    <w:qFormat/>
    <w:pPr>
      <w:spacing w:before="100" w:beforeAutospacing="1" w:after="100" w:afterAutospacing="1" w:line="240" w:lineRule="auto"/>
      <w:jc w:val="both"/>
    </w:pPr>
    <w:rPr>
      <w:rFonts w:eastAsiaTheme="minorEastAsia"/>
      <w:sz w:val="26"/>
      <w:szCs w:val="26"/>
      <w:lang w:val="en-GB"/>
    </w:rPr>
  </w:style>
  <w:style w:type="character" w:customStyle="1" w:styleId="footerChar">
    <w:name w:val="footer Char"/>
    <w:basedOn w:val="FuzeileZchn"/>
    <w:link w:val="Footer1"/>
    <w:rPr>
      <w:rFonts w:ascii="Myriad Pro" w:eastAsiaTheme="minorEastAsia" w:hAnsi="Myriad Pro" w:cs="Open Sans"/>
      <w:bCs w:val="0"/>
      <w:iCs w:val="0"/>
      <w:color w:val="000000"/>
      <w:sz w:val="18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  <w:jc w:val="both"/>
    </w:pPr>
    <w:rPr>
      <w:rFonts w:eastAsia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yriad Pro" w:eastAsia="Open Sans" w:hAnsi="Myriad Pro" w:cs="Open Sans"/>
      <w:b/>
      <w:bCs/>
      <w:i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Johann</dc:creator>
  <cp:keywords>, docId:67E100BECF023423113BB991E10CC629</cp:keywords>
  <dc:description/>
  <cp:lastModifiedBy>Johann Fischer</cp:lastModifiedBy>
  <cp:revision>4</cp:revision>
  <dcterms:created xsi:type="dcterms:W3CDTF">2025-01-17T17:20:00Z</dcterms:created>
  <dcterms:modified xsi:type="dcterms:W3CDTF">2025-02-07T15:42:00Z</dcterms:modified>
</cp:coreProperties>
</file>